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D020C" w:rsidRDefault="00000000">
      <w:pPr>
        <w:jc w:val="center"/>
        <w:rPr>
          <w:sz w:val="20"/>
          <w:szCs w:val="20"/>
        </w:rPr>
      </w:pPr>
      <w:bookmarkStart w:id="0" w:name="page1"/>
      <w:bookmarkEnd w:id="0"/>
      <w:r>
        <w:rPr>
          <w:rFonts w:ascii="Sylfaen" w:eastAsia="Sylfaen" w:hAnsi="Sylfaen" w:cs="Sylfaen"/>
          <w:i/>
          <w:iCs/>
          <w:sz w:val="23"/>
          <w:szCs w:val="23"/>
        </w:rPr>
        <w:t>Environment and Society, N2, December, 2020, pp. 22-34</w:t>
      </w:r>
    </w:p>
    <w:p w:rsidR="00AD020C" w:rsidRDefault="00000000">
      <w:pPr>
        <w:spacing w:line="20" w:lineRule="exact"/>
        <w:rPr>
          <w:sz w:val="24"/>
          <w:szCs w:val="24"/>
        </w:rPr>
      </w:pPr>
      <w:r>
        <w:rPr>
          <w:noProof/>
          <w:sz w:val="24"/>
          <w:szCs w:val="24"/>
        </w:rPr>
        <w:drawing>
          <wp:anchor distT="0" distB="0" distL="114300" distR="114300" simplePos="0" relativeHeight="251651072" behindDoc="1" locked="0" layoutInCell="0" allowOverlap="1">
            <wp:simplePos x="0" y="0"/>
            <wp:positionH relativeFrom="column">
              <wp:posOffset>-17780</wp:posOffset>
            </wp:positionH>
            <wp:positionV relativeFrom="paragraph">
              <wp:posOffset>17780</wp:posOffset>
            </wp:positionV>
            <wp:extent cx="6438900" cy="63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6438900" cy="6350"/>
                    </a:xfrm>
                    <a:prstGeom prst="rect">
                      <a:avLst/>
                    </a:prstGeom>
                    <a:noFill/>
                  </pic:spPr>
                </pic:pic>
              </a:graphicData>
            </a:graphic>
          </wp:anchor>
        </w:drawing>
      </w:r>
    </w:p>
    <w:p w:rsidR="00AD020C" w:rsidRDefault="00AD020C">
      <w:pPr>
        <w:sectPr w:rsidR="00AD020C">
          <w:pgSz w:w="12240" w:h="15840"/>
          <w:pgMar w:top="766" w:right="1080" w:bottom="164" w:left="1080" w:header="0" w:footer="0" w:gutter="0"/>
          <w:cols w:space="720" w:equalWidth="0">
            <w:col w:w="10080"/>
          </w:cols>
        </w:sectPr>
      </w:pPr>
    </w:p>
    <w:p w:rsidR="00AD020C" w:rsidRDefault="00AD020C">
      <w:pPr>
        <w:spacing w:line="200" w:lineRule="exact"/>
        <w:rPr>
          <w:sz w:val="24"/>
          <w:szCs w:val="24"/>
        </w:rPr>
      </w:pPr>
    </w:p>
    <w:p w:rsidR="00AD020C" w:rsidRDefault="00AD020C">
      <w:pPr>
        <w:spacing w:line="387" w:lineRule="exact"/>
        <w:rPr>
          <w:sz w:val="24"/>
          <w:szCs w:val="24"/>
        </w:rPr>
      </w:pPr>
    </w:p>
    <w:p w:rsidR="00AD020C" w:rsidRDefault="00000000">
      <w:pPr>
        <w:jc w:val="center"/>
        <w:rPr>
          <w:sz w:val="20"/>
          <w:szCs w:val="20"/>
        </w:rPr>
      </w:pPr>
      <w:r>
        <w:rPr>
          <w:rFonts w:ascii="Sylfaen" w:eastAsia="Sylfaen" w:hAnsi="Sylfaen" w:cs="Sylfaen"/>
          <w:b/>
          <w:bCs/>
          <w:sz w:val="32"/>
          <w:szCs w:val="32"/>
        </w:rPr>
        <w:t>The Role of Peace Education in the Process of Conflict Transformation</w:t>
      </w:r>
    </w:p>
    <w:p w:rsidR="00AD020C" w:rsidRDefault="00AD020C">
      <w:pPr>
        <w:spacing w:line="200" w:lineRule="exact"/>
        <w:rPr>
          <w:sz w:val="24"/>
          <w:szCs w:val="24"/>
        </w:rPr>
      </w:pPr>
    </w:p>
    <w:p w:rsidR="00AD020C" w:rsidRDefault="00AD020C">
      <w:pPr>
        <w:spacing w:line="200" w:lineRule="exact"/>
        <w:rPr>
          <w:sz w:val="24"/>
          <w:szCs w:val="24"/>
        </w:rPr>
      </w:pPr>
    </w:p>
    <w:p w:rsidR="00AD020C" w:rsidRDefault="00AD020C">
      <w:pPr>
        <w:spacing w:line="287" w:lineRule="exact"/>
        <w:rPr>
          <w:sz w:val="24"/>
          <w:szCs w:val="24"/>
        </w:rPr>
      </w:pPr>
    </w:p>
    <w:p w:rsidR="00AD020C" w:rsidRDefault="00000000">
      <w:pPr>
        <w:rPr>
          <w:sz w:val="20"/>
          <w:szCs w:val="20"/>
        </w:rPr>
      </w:pPr>
      <w:r>
        <w:rPr>
          <w:rFonts w:ascii="Sylfaen" w:eastAsia="Sylfaen" w:hAnsi="Sylfaen" w:cs="Sylfaen"/>
          <w:i/>
          <w:iCs/>
          <w:color w:val="5B9BD5"/>
          <w:sz w:val="20"/>
          <w:szCs w:val="20"/>
        </w:rPr>
        <w:t>Nino Kukhianidze</w:t>
      </w:r>
      <w:r>
        <w:rPr>
          <w:rFonts w:ascii="Sylfaen" w:eastAsia="Sylfaen" w:hAnsi="Sylfaen" w:cs="Sylfaen"/>
          <w:i/>
          <w:iCs/>
          <w:color w:val="5B9BD5"/>
          <w:sz w:val="24"/>
          <w:szCs w:val="24"/>
          <w:vertAlign w:val="superscript"/>
        </w:rPr>
        <w:t>1</w:t>
      </w:r>
    </w:p>
    <w:p w:rsidR="00AD020C" w:rsidRDefault="00AD020C">
      <w:pPr>
        <w:spacing w:line="82" w:lineRule="exact"/>
        <w:rPr>
          <w:sz w:val="24"/>
          <w:szCs w:val="24"/>
        </w:rPr>
      </w:pPr>
    </w:p>
    <w:p w:rsidR="00AD020C" w:rsidRDefault="00AD020C">
      <w:pPr>
        <w:spacing w:line="200" w:lineRule="exact"/>
        <w:rPr>
          <w:sz w:val="24"/>
          <w:szCs w:val="24"/>
        </w:rPr>
      </w:pPr>
    </w:p>
    <w:p w:rsidR="00AD020C" w:rsidRDefault="00AD020C">
      <w:pPr>
        <w:spacing w:line="211" w:lineRule="exact"/>
        <w:rPr>
          <w:sz w:val="24"/>
          <w:szCs w:val="24"/>
        </w:rPr>
      </w:pPr>
    </w:p>
    <w:p w:rsidR="00AD020C" w:rsidRDefault="00000000">
      <w:pPr>
        <w:rPr>
          <w:sz w:val="20"/>
          <w:szCs w:val="20"/>
        </w:rPr>
      </w:pPr>
      <w:r>
        <w:rPr>
          <w:rFonts w:ascii="Sylfaen" w:eastAsia="Sylfaen" w:hAnsi="Sylfaen" w:cs="Sylfaen"/>
          <w:b/>
          <w:bCs/>
          <w:sz w:val="24"/>
          <w:szCs w:val="24"/>
        </w:rPr>
        <w:t>Abstract</w:t>
      </w:r>
    </w:p>
    <w:p w:rsidR="00AD020C" w:rsidRDefault="00AD020C">
      <w:pPr>
        <w:spacing w:line="200" w:lineRule="exact"/>
        <w:rPr>
          <w:sz w:val="24"/>
          <w:szCs w:val="24"/>
        </w:rPr>
      </w:pPr>
    </w:p>
    <w:p w:rsidR="00AD020C" w:rsidRDefault="00AD020C">
      <w:pPr>
        <w:spacing w:line="311" w:lineRule="exact"/>
        <w:rPr>
          <w:sz w:val="24"/>
          <w:szCs w:val="24"/>
        </w:rPr>
      </w:pPr>
    </w:p>
    <w:p w:rsidR="00AD020C" w:rsidRDefault="00000000">
      <w:pPr>
        <w:spacing w:line="355" w:lineRule="auto"/>
        <w:jc w:val="both"/>
        <w:rPr>
          <w:sz w:val="20"/>
          <w:szCs w:val="20"/>
        </w:rPr>
      </w:pPr>
      <w:r>
        <w:rPr>
          <w:rFonts w:ascii="Sylfaen" w:eastAsia="Sylfaen" w:hAnsi="Sylfaen" w:cs="Sylfaen"/>
          <w:sz w:val="24"/>
          <w:szCs w:val="24"/>
        </w:rPr>
        <w:t>Peacebuilding actions for sustainable solutions begin with shifting mindsets of war to the mindsets of peace. Education is the tool to be used in this process. Discussions about conflict transformation are natural occurrences after outbreaks of conflicts, however usually the main conflict resolution rhetoric predominantly entails the focus of discussion on issues such as territorial integrity, return of internally displaced persons (IDP’s,) and maintaining international support on the issues of non-recognition, this has especially been the case in the context of conflicts in Georgia. In this country particularly, apart from internationally-supported peacebuilding efforts through engagement of civil society actors in peacebuilding and confidence-building processes, national efforts that would address local community peacebuilding needs are merely-existent. One of the contributing factors to enforcing the mindsets of war, regretfully, have been the education systems. They have been used as a tool to implement nationalist policies aimed at building enemy images and dehumanizing the “Other”, preparing the populations for war, portraying the conflict as historical and unsolvable, sustaining mobilization for the war efforts.</w:t>
      </w:r>
    </w:p>
    <w:p w:rsidR="00AD020C" w:rsidRDefault="00AD020C">
      <w:pPr>
        <w:spacing w:line="294" w:lineRule="exact"/>
        <w:rPr>
          <w:sz w:val="24"/>
          <w:szCs w:val="24"/>
        </w:rPr>
      </w:pPr>
    </w:p>
    <w:p w:rsidR="00AD020C" w:rsidRDefault="00000000">
      <w:pPr>
        <w:rPr>
          <w:sz w:val="20"/>
          <w:szCs w:val="20"/>
        </w:rPr>
      </w:pPr>
      <w:r>
        <w:rPr>
          <w:rFonts w:ascii="Sylfaen" w:eastAsia="Sylfaen" w:hAnsi="Sylfaen" w:cs="Sylfaen"/>
          <w:b/>
          <w:bCs/>
          <w:sz w:val="24"/>
          <w:szCs w:val="24"/>
        </w:rPr>
        <w:t xml:space="preserve">Key words: </w:t>
      </w:r>
      <w:r>
        <w:rPr>
          <w:rFonts w:ascii="Sylfaen" w:eastAsia="Sylfaen" w:hAnsi="Sylfaen" w:cs="Sylfaen"/>
          <w:sz w:val="24"/>
          <w:szCs w:val="24"/>
        </w:rPr>
        <w:t>Conflict transformation, education, peace education</w:t>
      </w:r>
    </w:p>
    <w:p w:rsidR="00AD020C" w:rsidRDefault="00AD020C">
      <w:pPr>
        <w:spacing w:line="200" w:lineRule="exact"/>
        <w:rPr>
          <w:sz w:val="24"/>
          <w:szCs w:val="24"/>
        </w:rPr>
      </w:pPr>
    </w:p>
    <w:p w:rsidR="00AD020C" w:rsidRDefault="00AD020C">
      <w:pPr>
        <w:spacing w:line="238" w:lineRule="exact"/>
        <w:rPr>
          <w:sz w:val="24"/>
          <w:szCs w:val="24"/>
        </w:rPr>
      </w:pPr>
    </w:p>
    <w:p w:rsidR="00AD020C" w:rsidRDefault="00000000">
      <w:pPr>
        <w:rPr>
          <w:sz w:val="20"/>
          <w:szCs w:val="20"/>
        </w:rPr>
      </w:pPr>
      <w:r>
        <w:rPr>
          <w:rFonts w:ascii="Sylfaen" w:eastAsia="Sylfaen" w:hAnsi="Sylfaen" w:cs="Sylfaen"/>
          <w:b/>
          <w:bCs/>
          <w:sz w:val="24"/>
          <w:szCs w:val="24"/>
        </w:rPr>
        <w:t>Introduction</w:t>
      </w:r>
    </w:p>
    <w:p w:rsidR="00AD020C" w:rsidRDefault="00AD020C">
      <w:pPr>
        <w:spacing w:line="232" w:lineRule="exact"/>
        <w:rPr>
          <w:sz w:val="24"/>
          <w:szCs w:val="24"/>
        </w:rPr>
      </w:pPr>
    </w:p>
    <w:p w:rsidR="00AD020C" w:rsidRDefault="00000000">
      <w:pPr>
        <w:spacing w:line="332" w:lineRule="auto"/>
        <w:jc w:val="both"/>
        <w:rPr>
          <w:sz w:val="20"/>
          <w:szCs w:val="20"/>
        </w:rPr>
      </w:pPr>
      <w:r>
        <w:rPr>
          <w:rFonts w:ascii="Sylfaen" w:eastAsia="Sylfaen" w:hAnsi="Sylfaen" w:cs="Sylfaen"/>
          <w:sz w:val="24"/>
          <w:szCs w:val="24"/>
        </w:rPr>
        <w:t>The concerns related to peace education are mainly attributed to how peace education contributes to values education and in the process how it helps in acquiring peaceful, social and civic competences in schools. Integrating peace education principles can promote to shape individual and</w:t>
      </w:r>
    </w:p>
    <w:p w:rsidR="00AD020C" w:rsidRDefault="00000000">
      <w:pPr>
        <w:spacing w:line="20" w:lineRule="exact"/>
        <w:rPr>
          <w:sz w:val="24"/>
          <w:szCs w:val="24"/>
        </w:rPr>
      </w:pPr>
      <w:r>
        <w:rPr>
          <w:noProof/>
          <w:sz w:val="24"/>
          <w:szCs w:val="24"/>
        </w:rPr>
        <mc:AlternateContent>
          <mc:Choice Requires="wps">
            <w:drawing>
              <wp:anchor distT="0" distB="0" distL="114300" distR="114300" simplePos="0" relativeHeight="251652096" behindDoc="1" locked="0" layoutInCell="0" allowOverlap="1">
                <wp:simplePos x="0" y="0"/>
                <wp:positionH relativeFrom="column">
                  <wp:posOffset>0</wp:posOffset>
                </wp:positionH>
                <wp:positionV relativeFrom="paragraph">
                  <wp:posOffset>270510</wp:posOffset>
                </wp:positionV>
                <wp:extent cx="1829435"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7619">
                          <a:solidFill>
                            <a:srgbClr val="000000"/>
                          </a:solidFill>
                          <a:miter lim="800000"/>
                          <a:headEnd/>
                          <a:tailEnd/>
                        </a:ln>
                      </wps:spPr>
                      <wps:bodyPr/>
                    </wps:wsp>
                  </a:graphicData>
                </a:graphic>
              </wp:anchor>
            </w:drawing>
          </mc:Choice>
          <mc:Fallback>
            <w:pict>
              <v:line w14:anchorId="6E798C32" id="Shape 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0,21.3pt" to="144.05pt,21.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" o:allowincell="f" filled="t" strokeweight=".21164mm">
                <v:stroke joinstyle="miter"/>
                <o:lock v:ext="edit" shapetype="f"/>
              </v:line>
            </w:pict>
          </mc:Fallback>
        </mc:AlternateContent>
      </w:r>
    </w:p>
    <w:p w:rsidR="00AD020C" w:rsidRDefault="00AD020C">
      <w:pPr>
        <w:spacing w:line="200" w:lineRule="exact"/>
        <w:rPr>
          <w:sz w:val="24"/>
          <w:szCs w:val="24"/>
        </w:rPr>
      </w:pPr>
    </w:p>
    <w:p w:rsidR="00AD020C" w:rsidRDefault="00AD020C">
      <w:pPr>
        <w:spacing w:line="220" w:lineRule="exact"/>
        <w:rPr>
          <w:sz w:val="24"/>
          <w:szCs w:val="24"/>
        </w:rPr>
      </w:pPr>
    </w:p>
    <w:p w:rsidR="00AD020C" w:rsidRDefault="00000000">
      <w:pPr>
        <w:numPr>
          <w:ilvl w:val="0"/>
          <w:numId w:val="1"/>
        </w:numPr>
        <w:tabs>
          <w:tab w:val="left" w:pos="140"/>
        </w:tabs>
        <w:ind w:left="140" w:hanging="140"/>
        <w:rPr>
          <w:rFonts w:ascii="Cambria" w:eastAsia="Cambria" w:hAnsi="Cambria" w:cs="Cambria"/>
          <w:sz w:val="32"/>
          <w:szCs w:val="32"/>
          <w:vertAlign w:val="superscript"/>
        </w:rPr>
      </w:pPr>
      <w:r>
        <w:rPr>
          <w:rFonts w:ascii="Sylfaen" w:eastAsia="Sylfaen" w:hAnsi="Sylfaen" w:cs="Sylfaen"/>
          <w:i/>
          <w:iCs/>
          <w:color w:val="5B9BD5"/>
          <w:sz w:val="20"/>
          <w:szCs w:val="20"/>
        </w:rPr>
        <w:t>nin_kukhianidze@yahoo.com</w:t>
      </w:r>
    </w:p>
    <w:p w:rsidR="00AD020C" w:rsidRDefault="00AD020C">
      <w:pPr>
        <w:sectPr w:rsidR="00AD020C">
          <w:type w:val="continuous"/>
          <w:pgSz w:w="12240" w:h="15840"/>
          <w:pgMar w:top="766" w:right="1080" w:bottom="164" w:left="1080" w:header="0" w:footer="0" w:gutter="0"/>
          <w:cols w:space="720" w:equalWidth="0">
            <w:col w:w="10080"/>
          </w:cols>
        </w:sectPr>
      </w:pPr>
    </w:p>
    <w:p w:rsidR="00AD020C" w:rsidRDefault="00AD020C">
      <w:pPr>
        <w:spacing w:line="376" w:lineRule="exact"/>
        <w:rPr>
          <w:sz w:val="24"/>
          <w:szCs w:val="24"/>
        </w:rPr>
      </w:pPr>
    </w:p>
    <w:p w:rsidR="00AD020C" w:rsidRDefault="00000000">
      <w:pPr>
        <w:ind w:left="9820"/>
        <w:rPr>
          <w:sz w:val="20"/>
          <w:szCs w:val="20"/>
        </w:rPr>
      </w:pPr>
      <w:r>
        <w:rPr>
          <w:rFonts w:ascii="Cambria" w:eastAsia="Cambria" w:hAnsi="Cambria" w:cs="Cambria"/>
          <w:sz w:val="23"/>
          <w:szCs w:val="23"/>
        </w:rPr>
        <w:t>22</w:t>
      </w:r>
    </w:p>
    <w:p w:rsidR="00AD020C" w:rsidRDefault="00AD020C">
      <w:pPr>
        <w:sectPr w:rsidR="00AD020C">
          <w:type w:val="continuous"/>
          <w:pgSz w:w="12240" w:h="15840"/>
          <w:pgMar w:top="766" w:right="1080" w:bottom="164" w:left="1080" w:header="0" w:footer="0" w:gutter="0"/>
          <w:cols w:space="720" w:equalWidth="0">
            <w:col w:w="10080"/>
          </w:cols>
        </w:sectPr>
      </w:pPr>
    </w:p>
    <w:p w:rsidR="00AD020C" w:rsidRDefault="00000000">
      <w:pPr>
        <w:jc w:val="center"/>
        <w:rPr>
          <w:sz w:val="20"/>
          <w:szCs w:val="20"/>
        </w:rPr>
      </w:pPr>
      <w:bookmarkStart w:id="1" w:name="page2"/>
      <w:bookmarkEnd w:id="1"/>
      <w:r>
        <w:rPr>
          <w:rFonts w:ascii="Sylfaen" w:eastAsia="Sylfaen" w:hAnsi="Sylfaen" w:cs="Sylfaen"/>
          <w:i/>
          <w:iCs/>
          <w:sz w:val="23"/>
          <w:szCs w:val="23"/>
        </w:rPr>
        <w:lastRenderedPageBreak/>
        <w:t>Environment and Society, N2, December, 2020, pp. 22-34</w:t>
      </w:r>
    </w:p>
    <w:p w:rsidR="00AD020C" w:rsidRDefault="00000000">
      <w:pPr>
        <w:spacing w:line="20" w:lineRule="exact"/>
        <w:rPr>
          <w:sz w:val="20"/>
          <w:szCs w:val="20"/>
        </w:rPr>
      </w:pPr>
      <w:r>
        <w:rPr>
          <w:noProof/>
          <w:sz w:val="20"/>
          <w:szCs w:val="20"/>
        </w:rPr>
        <w:drawing>
          <wp:anchor distT="0" distB="0" distL="114300" distR="114300" simplePos="0" relativeHeight="251653120" behindDoc="1" locked="0" layoutInCell="0" allowOverlap="1">
            <wp:simplePos x="0" y="0"/>
            <wp:positionH relativeFrom="column">
              <wp:posOffset>-17780</wp:posOffset>
            </wp:positionH>
            <wp:positionV relativeFrom="paragraph">
              <wp:posOffset>17780</wp:posOffset>
            </wp:positionV>
            <wp:extent cx="6438900" cy="63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srcRect/>
                    <a:stretch>
                      <a:fillRect/>
                    </a:stretch>
                  </pic:blipFill>
                  <pic:spPr bwMode="auto">
                    <a:xfrm>
                      <a:off x="0" y="0"/>
                      <a:ext cx="6438900" cy="6350"/>
                    </a:xfrm>
                    <a:prstGeom prst="rect">
                      <a:avLst/>
                    </a:prstGeom>
                    <a:noFill/>
                  </pic:spPr>
                </pic:pic>
              </a:graphicData>
            </a:graphic>
          </wp:anchor>
        </w:drawing>
      </w:r>
    </w:p>
    <w:p w:rsidR="00AD020C" w:rsidRDefault="00AD020C">
      <w:pPr>
        <w:sectPr w:rsidR="00AD020C">
          <w:pgSz w:w="12240" w:h="15840"/>
          <w:pgMar w:top="766" w:right="1080" w:bottom="164" w:left="1080" w:header="0" w:footer="0" w:gutter="0"/>
          <w:cols w:space="720" w:equalWidth="0">
            <w:col w:w="10080"/>
          </w:cols>
        </w:sectPr>
      </w:pPr>
    </w:p>
    <w:p w:rsidR="00AD020C" w:rsidRDefault="00AD020C">
      <w:pPr>
        <w:spacing w:line="200" w:lineRule="exact"/>
        <w:rPr>
          <w:sz w:val="20"/>
          <w:szCs w:val="20"/>
        </w:rPr>
      </w:pPr>
    </w:p>
    <w:p w:rsidR="00AD020C" w:rsidRDefault="00AD020C">
      <w:pPr>
        <w:spacing w:line="200" w:lineRule="exact"/>
        <w:rPr>
          <w:sz w:val="20"/>
          <w:szCs w:val="20"/>
        </w:rPr>
      </w:pPr>
    </w:p>
    <w:p w:rsidR="00AD020C" w:rsidRDefault="00AD020C">
      <w:pPr>
        <w:spacing w:line="265" w:lineRule="exact"/>
        <w:rPr>
          <w:sz w:val="20"/>
          <w:szCs w:val="20"/>
        </w:rPr>
      </w:pPr>
    </w:p>
    <w:p w:rsidR="00AD020C" w:rsidRDefault="00000000">
      <w:pPr>
        <w:spacing w:line="352" w:lineRule="auto"/>
        <w:jc w:val="both"/>
        <w:rPr>
          <w:sz w:val="20"/>
          <w:szCs w:val="20"/>
        </w:rPr>
      </w:pPr>
      <w:r>
        <w:rPr>
          <w:rFonts w:ascii="Sylfaen" w:eastAsia="Sylfaen" w:hAnsi="Sylfaen" w:cs="Sylfaen"/>
          <w:sz w:val="24"/>
          <w:szCs w:val="24"/>
        </w:rPr>
        <w:t>community identities, enhance relationships between people, promote positive conflict transformation, development and, in general, contribute to the process of peacebuilding. Official state approved curriculums help to legitimize what is considered to be important to learn within a society and therefore determines what is included to be understood as relevant knowledge and practices. The documentary analysis of educational documents in relation to teaching and learning of peace education principles uncovers to what extent peace education principles are expected to contribute to building peaceful and sustainable societies, and faces some current challenges of the role of peace education in schools.</w:t>
      </w:r>
    </w:p>
    <w:p w:rsidR="00AD020C" w:rsidRDefault="00AD020C">
      <w:pPr>
        <w:spacing w:line="87" w:lineRule="exact"/>
        <w:rPr>
          <w:sz w:val="20"/>
          <w:szCs w:val="20"/>
        </w:rPr>
      </w:pPr>
    </w:p>
    <w:p w:rsidR="00AD020C" w:rsidRDefault="00000000">
      <w:pPr>
        <w:spacing w:line="350" w:lineRule="auto"/>
        <w:jc w:val="both"/>
        <w:rPr>
          <w:sz w:val="20"/>
          <w:szCs w:val="20"/>
        </w:rPr>
      </w:pPr>
      <w:r>
        <w:rPr>
          <w:rFonts w:ascii="Sylfaen" w:eastAsia="Sylfaen" w:hAnsi="Sylfaen" w:cs="Sylfaen"/>
          <w:sz w:val="24"/>
          <w:szCs w:val="24"/>
        </w:rPr>
        <w:t>According to one of the founders of the field of peace studies Johan Galtung, peace education should not simply focus on the knowledge of the concepts of peace and war, but it should actively promote conflict competence (Galtung, Violence, Peace, and Peace Research, 1969). Young and adults alike can learn self-awareness, how to cope with self-destructive anger. They can learn about violence, and reconciliation after violence, about justice and injustice. It should actively prevent the intensification of tensions and stereotypes between groups that contributes to the emergence of negative attitudes, which in turn results in violent behavior (ibidem).</w:t>
      </w:r>
    </w:p>
    <w:p w:rsidR="00AD020C" w:rsidRDefault="00AD020C">
      <w:pPr>
        <w:spacing w:line="211" w:lineRule="exact"/>
        <w:rPr>
          <w:sz w:val="20"/>
          <w:szCs w:val="20"/>
        </w:rPr>
      </w:pPr>
    </w:p>
    <w:p w:rsidR="00AD020C" w:rsidRDefault="00000000">
      <w:pPr>
        <w:spacing w:line="355" w:lineRule="auto"/>
        <w:jc w:val="both"/>
        <w:rPr>
          <w:sz w:val="20"/>
          <w:szCs w:val="20"/>
        </w:rPr>
      </w:pPr>
      <w:r>
        <w:rPr>
          <w:rFonts w:ascii="Sylfaen" w:eastAsia="Sylfaen" w:hAnsi="Sylfaen" w:cs="Sylfaen"/>
          <w:sz w:val="24"/>
          <w:szCs w:val="24"/>
        </w:rPr>
        <w:t>According to Galtung, the traits of the “cultural mentality” held by the people of the Caucasus (a part of which is Georgia), poses considerable obstacles for any peace process (Galtung, Some Observations on the South Caucasus, 1997). When discussing the “Warrior Mentality”, he refers to violence, being a professional pursuit in the Caucasus; statues of man on horseback, textbooks on warrior heroes enforce this mentality to consider violence as normal and natural, and also entails the idea that conflicts as well as negotiations are about winning, not solving. The “Chief-Sheikh Mentality” refers to the poor civil society traditions the region has, where all the decisions, including those on war and peace and foreign policy are made by the Chief-Sheikh type of a leader, while people submit. Though if he (assumed that the leader must be a man) does not deliver concrete results, people soon begin to look for a new chief. The final of the three cultural traits, the “Victim Mentality” has formed because of the suffering that the groups have experienced from others. Each group demands undivided attention and focus only on their own trauma. Therefore, a</w:t>
      </w:r>
    </w:p>
    <w:p w:rsidR="00AD020C" w:rsidRDefault="00AD020C">
      <w:pPr>
        <w:sectPr w:rsidR="00AD020C">
          <w:type w:val="continuous"/>
          <w:pgSz w:w="12240" w:h="15840"/>
          <w:pgMar w:top="766" w:right="1080" w:bottom="164" w:left="1080" w:header="0" w:footer="0" w:gutter="0"/>
          <w:cols w:space="720" w:equalWidth="0">
            <w:col w:w="10080"/>
          </w:cols>
        </w:sectPr>
      </w:pPr>
    </w:p>
    <w:p w:rsidR="00AD020C" w:rsidRDefault="00AD020C">
      <w:pPr>
        <w:spacing w:line="266" w:lineRule="exact"/>
        <w:rPr>
          <w:sz w:val="20"/>
          <w:szCs w:val="20"/>
        </w:rPr>
      </w:pPr>
    </w:p>
    <w:p w:rsidR="00AD020C" w:rsidRDefault="00000000">
      <w:pPr>
        <w:ind w:left="9820"/>
        <w:rPr>
          <w:sz w:val="20"/>
          <w:szCs w:val="20"/>
        </w:rPr>
      </w:pPr>
      <w:r>
        <w:rPr>
          <w:rFonts w:ascii="Cambria" w:eastAsia="Cambria" w:hAnsi="Cambria" w:cs="Cambria"/>
          <w:sz w:val="23"/>
          <w:szCs w:val="23"/>
        </w:rPr>
        <w:t>23</w:t>
      </w:r>
    </w:p>
    <w:p w:rsidR="00AD020C" w:rsidRDefault="00AD020C">
      <w:pPr>
        <w:sectPr w:rsidR="00AD020C">
          <w:type w:val="continuous"/>
          <w:pgSz w:w="12240" w:h="15840"/>
          <w:pgMar w:top="766" w:right="1080" w:bottom="164" w:left="1080" w:header="0" w:footer="0" w:gutter="0"/>
          <w:cols w:space="720" w:equalWidth="0">
            <w:col w:w="10080"/>
          </w:cols>
        </w:sectPr>
      </w:pPr>
    </w:p>
    <w:p w:rsidR="00AD020C" w:rsidRDefault="00000000">
      <w:pPr>
        <w:jc w:val="center"/>
        <w:rPr>
          <w:sz w:val="20"/>
          <w:szCs w:val="20"/>
        </w:rPr>
      </w:pPr>
      <w:bookmarkStart w:id="2" w:name="page3"/>
      <w:bookmarkEnd w:id="2"/>
      <w:r>
        <w:rPr>
          <w:rFonts w:ascii="Sylfaen" w:eastAsia="Sylfaen" w:hAnsi="Sylfaen" w:cs="Sylfaen"/>
          <w:i/>
          <w:iCs/>
          <w:sz w:val="23"/>
          <w:szCs w:val="23"/>
        </w:rPr>
        <w:lastRenderedPageBreak/>
        <w:t>Environment and Society, N2, December, 2020, pp. 22-34</w:t>
      </w:r>
    </w:p>
    <w:p w:rsidR="00AD020C" w:rsidRDefault="00000000">
      <w:pPr>
        <w:spacing w:line="20" w:lineRule="exact"/>
        <w:rPr>
          <w:sz w:val="20"/>
          <w:szCs w:val="20"/>
        </w:rPr>
      </w:pPr>
      <w:r>
        <w:rPr>
          <w:noProof/>
          <w:sz w:val="20"/>
          <w:szCs w:val="20"/>
        </w:rPr>
        <w:drawing>
          <wp:anchor distT="0" distB="0" distL="114300" distR="114300" simplePos="0" relativeHeight="251654144" behindDoc="1" locked="0" layoutInCell="0" allowOverlap="1">
            <wp:simplePos x="0" y="0"/>
            <wp:positionH relativeFrom="column">
              <wp:posOffset>-17780</wp:posOffset>
            </wp:positionH>
            <wp:positionV relativeFrom="paragraph">
              <wp:posOffset>17780</wp:posOffset>
            </wp:positionV>
            <wp:extent cx="6438900" cy="63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6438900" cy="6350"/>
                    </a:xfrm>
                    <a:prstGeom prst="rect">
                      <a:avLst/>
                    </a:prstGeom>
                    <a:noFill/>
                  </pic:spPr>
                </pic:pic>
              </a:graphicData>
            </a:graphic>
          </wp:anchor>
        </w:drawing>
      </w:r>
    </w:p>
    <w:p w:rsidR="00AD020C" w:rsidRDefault="00AD020C">
      <w:pPr>
        <w:sectPr w:rsidR="00AD020C">
          <w:pgSz w:w="12240" w:h="15840"/>
          <w:pgMar w:top="766" w:right="1080" w:bottom="164" w:left="1080" w:header="0" w:footer="0" w:gutter="0"/>
          <w:cols w:space="720" w:equalWidth="0">
            <w:col w:w="10080"/>
          </w:cols>
        </w:sectPr>
      </w:pPr>
    </w:p>
    <w:p w:rsidR="00AD020C" w:rsidRDefault="00AD020C">
      <w:pPr>
        <w:spacing w:line="200" w:lineRule="exact"/>
        <w:rPr>
          <w:sz w:val="20"/>
          <w:szCs w:val="20"/>
        </w:rPr>
      </w:pPr>
    </w:p>
    <w:p w:rsidR="00AD020C" w:rsidRDefault="00AD020C">
      <w:pPr>
        <w:spacing w:line="200" w:lineRule="exact"/>
        <w:rPr>
          <w:sz w:val="20"/>
          <w:szCs w:val="20"/>
        </w:rPr>
      </w:pPr>
    </w:p>
    <w:p w:rsidR="00AD020C" w:rsidRDefault="00AD020C">
      <w:pPr>
        <w:spacing w:line="265" w:lineRule="exact"/>
        <w:rPr>
          <w:sz w:val="20"/>
          <w:szCs w:val="20"/>
        </w:rPr>
      </w:pPr>
    </w:p>
    <w:p w:rsidR="00AD020C" w:rsidRDefault="00000000">
      <w:pPr>
        <w:spacing w:line="341" w:lineRule="auto"/>
        <w:jc w:val="both"/>
        <w:rPr>
          <w:sz w:val="20"/>
          <w:szCs w:val="20"/>
        </w:rPr>
      </w:pPr>
      <w:r>
        <w:rPr>
          <w:rFonts w:ascii="Sylfaen" w:eastAsia="Sylfaen" w:hAnsi="Sylfaen" w:cs="Sylfaen"/>
          <w:sz w:val="24"/>
          <w:szCs w:val="24"/>
        </w:rPr>
        <w:t>dialogue easily turns into parallel monologues: nobody listens to each other, but each participant articulates their grievances. This mentality is the prerequisite to preserving the status quo of conflicts, as new ideas are not welcome, if it does not put the opponents own concerns in the center of the discussion (Galtung, Some Observations on the South Caucasus, 1997).</w:t>
      </w:r>
    </w:p>
    <w:p w:rsidR="00AD020C" w:rsidRDefault="00AD020C">
      <w:pPr>
        <w:spacing w:line="220" w:lineRule="exact"/>
        <w:rPr>
          <w:sz w:val="20"/>
          <w:szCs w:val="20"/>
        </w:rPr>
      </w:pPr>
    </w:p>
    <w:p w:rsidR="00AD020C" w:rsidRDefault="00000000">
      <w:pPr>
        <w:spacing w:line="354" w:lineRule="auto"/>
        <w:jc w:val="both"/>
        <w:rPr>
          <w:sz w:val="20"/>
          <w:szCs w:val="20"/>
        </w:rPr>
      </w:pPr>
      <w:r>
        <w:rPr>
          <w:rFonts w:ascii="Sylfaen" w:eastAsia="Sylfaen" w:hAnsi="Sylfaen" w:cs="Sylfaen"/>
          <w:sz w:val="24"/>
          <w:szCs w:val="24"/>
        </w:rPr>
        <w:t>The combination of these cultural traits is not contributing to shifting the mindsets of war to the mindsets of peace. Even though school students in the region might have not directly experienced, nor have had the memory of conflict manifestations, history textbooks help maintain an image of the other country being the enemy, which prevents a sustainable resolution to their problems (Sultanova, 2012). The state approved education system through its textbooks of Literature, History and more recently Civic Education forces the new generation to maintain the historical memory of conflict, which empowers the idea of being in the actual phase of conflict currently, as well as intensifies the stereotypes, assumptions, and negative attitudes towards the “other”, that have been culturally constructed within the societies throughout time. Therefore, promoting culture of tolerance, anti-discrimination, and peaceful conflict transformation is challenging in the face of the content of the textbooks of the above-mentioned subjects.</w:t>
      </w:r>
    </w:p>
    <w:p w:rsidR="00AD020C" w:rsidRDefault="00AD020C">
      <w:pPr>
        <w:spacing w:line="200" w:lineRule="exact"/>
        <w:rPr>
          <w:sz w:val="20"/>
          <w:szCs w:val="20"/>
        </w:rPr>
      </w:pPr>
    </w:p>
    <w:p w:rsidR="00AD020C" w:rsidRDefault="00AD020C">
      <w:pPr>
        <w:spacing w:line="200" w:lineRule="exact"/>
        <w:rPr>
          <w:sz w:val="20"/>
          <w:szCs w:val="20"/>
        </w:rPr>
      </w:pPr>
    </w:p>
    <w:p w:rsidR="00AD020C" w:rsidRDefault="00AD020C">
      <w:pPr>
        <w:spacing w:line="210" w:lineRule="exact"/>
        <w:rPr>
          <w:sz w:val="20"/>
          <w:szCs w:val="20"/>
        </w:rPr>
      </w:pPr>
    </w:p>
    <w:p w:rsidR="00AD020C" w:rsidRDefault="00000000">
      <w:pPr>
        <w:rPr>
          <w:sz w:val="20"/>
          <w:szCs w:val="20"/>
        </w:rPr>
      </w:pPr>
      <w:r>
        <w:rPr>
          <w:rFonts w:ascii="Sylfaen" w:eastAsia="Sylfaen" w:hAnsi="Sylfaen" w:cs="Sylfaen"/>
          <w:b/>
          <w:bCs/>
          <w:sz w:val="24"/>
          <w:szCs w:val="24"/>
          <w:u w:val="single"/>
        </w:rPr>
        <w:t>Hypotheses and research questions</w:t>
      </w:r>
    </w:p>
    <w:p w:rsidR="00AD020C" w:rsidRDefault="00AD020C">
      <w:pPr>
        <w:spacing w:line="350" w:lineRule="exact"/>
        <w:rPr>
          <w:sz w:val="20"/>
          <w:szCs w:val="20"/>
        </w:rPr>
      </w:pPr>
    </w:p>
    <w:p w:rsidR="00AD020C" w:rsidRDefault="00000000">
      <w:pPr>
        <w:spacing w:line="332" w:lineRule="auto"/>
        <w:jc w:val="both"/>
        <w:rPr>
          <w:sz w:val="20"/>
          <w:szCs w:val="20"/>
        </w:rPr>
      </w:pPr>
      <w:r>
        <w:rPr>
          <w:rFonts w:ascii="Sylfaen" w:eastAsia="Sylfaen" w:hAnsi="Sylfaen" w:cs="Sylfaen"/>
          <w:sz w:val="24"/>
          <w:szCs w:val="24"/>
        </w:rPr>
        <w:t xml:space="preserve">The main research hypothesis for this paper assumes that: </w:t>
      </w:r>
      <w:r>
        <w:rPr>
          <w:rFonts w:ascii="Sylfaen" w:eastAsia="Sylfaen" w:hAnsi="Sylfaen" w:cs="Sylfaen"/>
          <w:i/>
          <w:iCs/>
          <w:sz w:val="24"/>
          <w:szCs w:val="24"/>
        </w:rPr>
        <w:t>In order for sustainable conflict</w:t>
      </w:r>
      <w:r>
        <w:rPr>
          <w:rFonts w:ascii="Sylfaen" w:eastAsia="Sylfaen" w:hAnsi="Sylfaen" w:cs="Sylfaen"/>
          <w:sz w:val="24"/>
          <w:szCs w:val="24"/>
        </w:rPr>
        <w:t xml:space="preserve"> </w:t>
      </w:r>
      <w:r>
        <w:rPr>
          <w:rFonts w:ascii="Sylfaen" w:eastAsia="Sylfaen" w:hAnsi="Sylfaen" w:cs="Sylfaen"/>
          <w:i/>
          <w:iCs/>
          <w:sz w:val="24"/>
          <w:szCs w:val="24"/>
        </w:rPr>
        <w:t>transformation processes to take place, a relevant shift in the state approved education policy is necessary.</w:t>
      </w:r>
    </w:p>
    <w:p w:rsidR="00AD020C" w:rsidRDefault="00AD020C">
      <w:pPr>
        <w:spacing w:line="39" w:lineRule="exact"/>
        <w:rPr>
          <w:sz w:val="20"/>
          <w:szCs w:val="20"/>
        </w:rPr>
      </w:pPr>
    </w:p>
    <w:p w:rsidR="00AD020C" w:rsidRDefault="00000000">
      <w:pPr>
        <w:rPr>
          <w:sz w:val="20"/>
          <w:szCs w:val="20"/>
        </w:rPr>
      </w:pPr>
      <w:r>
        <w:rPr>
          <w:rFonts w:ascii="Sylfaen" w:eastAsia="Sylfaen" w:hAnsi="Sylfaen" w:cs="Sylfaen"/>
          <w:sz w:val="24"/>
          <w:szCs w:val="24"/>
        </w:rPr>
        <w:t>The questions this research intends to answer are the following:</w:t>
      </w:r>
    </w:p>
    <w:p w:rsidR="00AD020C" w:rsidRDefault="00AD020C">
      <w:pPr>
        <w:spacing w:line="232" w:lineRule="exact"/>
        <w:rPr>
          <w:sz w:val="20"/>
          <w:szCs w:val="20"/>
        </w:rPr>
      </w:pPr>
    </w:p>
    <w:p w:rsidR="00AD020C" w:rsidRDefault="00000000">
      <w:pPr>
        <w:numPr>
          <w:ilvl w:val="0"/>
          <w:numId w:val="2"/>
        </w:numPr>
        <w:tabs>
          <w:tab w:val="left" w:pos="720"/>
        </w:tabs>
        <w:spacing w:line="332" w:lineRule="auto"/>
        <w:ind w:left="720" w:hanging="360"/>
        <w:jc w:val="both"/>
        <w:rPr>
          <w:rFonts w:ascii="Symbol" w:eastAsia="Symbol" w:hAnsi="Symbol" w:cs="Symbol"/>
          <w:sz w:val="24"/>
          <w:szCs w:val="24"/>
        </w:rPr>
      </w:pPr>
      <w:r>
        <w:rPr>
          <w:rFonts w:ascii="Sylfaen" w:eastAsia="Sylfaen" w:hAnsi="Sylfaen" w:cs="Sylfaen"/>
          <w:sz w:val="24"/>
          <w:szCs w:val="24"/>
        </w:rPr>
        <w:t>RQ1: Do education systems intend to develop societies to become key players in diminishing structural and cultural violence within the contexts of their respective conflicts? If not, why not? Can it be changed? How can it be changed?</w:t>
      </w:r>
    </w:p>
    <w:p w:rsidR="00AD020C" w:rsidRDefault="00AD020C">
      <w:pPr>
        <w:spacing w:line="35" w:lineRule="exact"/>
        <w:rPr>
          <w:rFonts w:ascii="Symbol" w:eastAsia="Symbol" w:hAnsi="Symbol" w:cs="Symbol"/>
          <w:sz w:val="24"/>
          <w:szCs w:val="24"/>
        </w:rPr>
      </w:pPr>
    </w:p>
    <w:p w:rsidR="00AD020C" w:rsidRDefault="00000000">
      <w:pPr>
        <w:numPr>
          <w:ilvl w:val="0"/>
          <w:numId w:val="2"/>
        </w:numPr>
        <w:tabs>
          <w:tab w:val="left" w:pos="720"/>
        </w:tabs>
        <w:ind w:left="720" w:hanging="360"/>
        <w:rPr>
          <w:rFonts w:ascii="Symbol" w:eastAsia="Symbol" w:hAnsi="Symbol" w:cs="Symbol"/>
          <w:sz w:val="24"/>
          <w:szCs w:val="24"/>
        </w:rPr>
      </w:pPr>
      <w:r>
        <w:rPr>
          <w:rFonts w:ascii="Sylfaen" w:eastAsia="Sylfaen" w:hAnsi="Sylfaen" w:cs="Sylfaen"/>
          <w:sz w:val="24"/>
          <w:szCs w:val="24"/>
        </w:rPr>
        <w:t>RQ2: Are the education systems in their current form promoting the culture of peace?</w:t>
      </w:r>
    </w:p>
    <w:p w:rsidR="00AD020C" w:rsidRDefault="00AD020C">
      <w:pPr>
        <w:spacing w:line="159" w:lineRule="exact"/>
        <w:rPr>
          <w:rFonts w:ascii="Symbol" w:eastAsia="Symbol" w:hAnsi="Symbol" w:cs="Symbol"/>
          <w:sz w:val="24"/>
          <w:szCs w:val="24"/>
        </w:rPr>
      </w:pPr>
    </w:p>
    <w:p w:rsidR="00AD020C" w:rsidRDefault="00000000">
      <w:pPr>
        <w:numPr>
          <w:ilvl w:val="0"/>
          <w:numId w:val="2"/>
        </w:numPr>
        <w:tabs>
          <w:tab w:val="left" w:pos="720"/>
        </w:tabs>
        <w:ind w:left="720" w:hanging="360"/>
        <w:rPr>
          <w:rFonts w:ascii="Symbol" w:eastAsia="Symbol" w:hAnsi="Symbol" w:cs="Symbol"/>
          <w:sz w:val="24"/>
          <w:szCs w:val="24"/>
        </w:rPr>
      </w:pPr>
      <w:r>
        <w:rPr>
          <w:rFonts w:ascii="Sylfaen" w:eastAsia="Sylfaen" w:hAnsi="Sylfaen" w:cs="Sylfaen"/>
          <w:sz w:val="24"/>
          <w:szCs w:val="24"/>
        </w:rPr>
        <w:t>RQ3: Can Peace Education serve as a potential tool for building positive peace?</w:t>
      </w:r>
    </w:p>
    <w:p w:rsidR="00AD020C" w:rsidRDefault="00AD020C">
      <w:pPr>
        <w:spacing w:line="156" w:lineRule="exact"/>
        <w:rPr>
          <w:rFonts w:ascii="Symbol" w:eastAsia="Symbol" w:hAnsi="Symbol" w:cs="Symbol"/>
          <w:sz w:val="24"/>
          <w:szCs w:val="24"/>
        </w:rPr>
      </w:pPr>
    </w:p>
    <w:p w:rsidR="00AD020C" w:rsidRDefault="00000000">
      <w:pPr>
        <w:numPr>
          <w:ilvl w:val="0"/>
          <w:numId w:val="2"/>
        </w:numPr>
        <w:tabs>
          <w:tab w:val="left" w:pos="720"/>
        </w:tabs>
        <w:ind w:left="720" w:hanging="360"/>
        <w:rPr>
          <w:rFonts w:ascii="Symbol" w:eastAsia="Symbol" w:hAnsi="Symbol" w:cs="Symbol"/>
          <w:sz w:val="24"/>
          <w:szCs w:val="24"/>
        </w:rPr>
      </w:pPr>
      <w:r>
        <w:rPr>
          <w:rFonts w:ascii="Sylfaen" w:eastAsia="Sylfaen" w:hAnsi="Sylfaen" w:cs="Sylfaen"/>
          <w:sz w:val="24"/>
          <w:szCs w:val="24"/>
        </w:rPr>
        <w:t>RQ4: What are the obstacles facing conflict transformation processes?</w:t>
      </w:r>
    </w:p>
    <w:p w:rsidR="00AD020C" w:rsidRDefault="00AD020C">
      <w:pPr>
        <w:sectPr w:rsidR="00AD020C">
          <w:type w:val="continuous"/>
          <w:pgSz w:w="12240" w:h="15840"/>
          <w:pgMar w:top="766" w:right="1080" w:bottom="164" w:left="1080" w:header="0" w:footer="0" w:gutter="0"/>
          <w:cols w:space="720" w:equalWidth="0">
            <w:col w:w="10080"/>
          </w:cols>
        </w:sectPr>
      </w:pPr>
    </w:p>
    <w:p w:rsidR="00AD020C" w:rsidRDefault="00AD020C">
      <w:pPr>
        <w:spacing w:line="177" w:lineRule="exact"/>
        <w:rPr>
          <w:sz w:val="20"/>
          <w:szCs w:val="20"/>
        </w:rPr>
      </w:pPr>
    </w:p>
    <w:p w:rsidR="00AD020C" w:rsidRDefault="00000000">
      <w:pPr>
        <w:ind w:left="9820"/>
        <w:rPr>
          <w:sz w:val="20"/>
          <w:szCs w:val="20"/>
        </w:rPr>
      </w:pPr>
      <w:r>
        <w:rPr>
          <w:rFonts w:ascii="Cambria" w:eastAsia="Cambria" w:hAnsi="Cambria" w:cs="Cambria"/>
          <w:sz w:val="23"/>
          <w:szCs w:val="23"/>
        </w:rPr>
        <w:t>24</w:t>
      </w:r>
    </w:p>
    <w:p w:rsidR="00AD020C" w:rsidRDefault="00AD020C">
      <w:pPr>
        <w:sectPr w:rsidR="00AD020C">
          <w:type w:val="continuous"/>
          <w:pgSz w:w="12240" w:h="15840"/>
          <w:pgMar w:top="766" w:right="1080" w:bottom="164" w:left="1080" w:header="0" w:footer="0" w:gutter="0"/>
          <w:cols w:space="720" w:equalWidth="0">
            <w:col w:w="10080"/>
          </w:cols>
        </w:sectPr>
      </w:pPr>
    </w:p>
    <w:p w:rsidR="00AD020C" w:rsidRDefault="00000000">
      <w:pPr>
        <w:jc w:val="center"/>
        <w:rPr>
          <w:sz w:val="20"/>
          <w:szCs w:val="20"/>
        </w:rPr>
      </w:pPr>
      <w:bookmarkStart w:id="3" w:name="page4"/>
      <w:bookmarkEnd w:id="3"/>
      <w:r>
        <w:rPr>
          <w:rFonts w:ascii="Sylfaen" w:eastAsia="Sylfaen" w:hAnsi="Sylfaen" w:cs="Sylfaen"/>
          <w:i/>
          <w:iCs/>
          <w:sz w:val="23"/>
          <w:szCs w:val="23"/>
        </w:rPr>
        <w:lastRenderedPageBreak/>
        <w:t>Environment and Society, N2, December, 2020, pp. 22-34</w:t>
      </w:r>
    </w:p>
    <w:p w:rsidR="00AD020C" w:rsidRDefault="00000000">
      <w:pPr>
        <w:spacing w:line="20" w:lineRule="exact"/>
        <w:rPr>
          <w:sz w:val="20"/>
          <w:szCs w:val="20"/>
        </w:rPr>
      </w:pPr>
      <w:r>
        <w:rPr>
          <w:noProof/>
          <w:sz w:val="20"/>
          <w:szCs w:val="20"/>
        </w:rPr>
        <w:drawing>
          <wp:anchor distT="0" distB="0" distL="114300" distR="114300" simplePos="0" relativeHeight="251655168" behindDoc="1" locked="0" layoutInCell="0" allowOverlap="1">
            <wp:simplePos x="0" y="0"/>
            <wp:positionH relativeFrom="column">
              <wp:posOffset>-17780</wp:posOffset>
            </wp:positionH>
            <wp:positionV relativeFrom="paragraph">
              <wp:posOffset>17780</wp:posOffset>
            </wp:positionV>
            <wp:extent cx="6438900" cy="63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srcRect/>
                    <a:stretch>
                      <a:fillRect/>
                    </a:stretch>
                  </pic:blipFill>
                  <pic:spPr bwMode="auto">
                    <a:xfrm>
                      <a:off x="0" y="0"/>
                      <a:ext cx="6438900" cy="6350"/>
                    </a:xfrm>
                    <a:prstGeom prst="rect">
                      <a:avLst/>
                    </a:prstGeom>
                    <a:noFill/>
                  </pic:spPr>
                </pic:pic>
              </a:graphicData>
            </a:graphic>
          </wp:anchor>
        </w:drawing>
      </w:r>
    </w:p>
    <w:p w:rsidR="00AD020C" w:rsidRDefault="00AD020C">
      <w:pPr>
        <w:sectPr w:rsidR="00AD020C">
          <w:pgSz w:w="12240" w:h="15840"/>
          <w:pgMar w:top="766" w:right="1080" w:bottom="424" w:left="1080" w:header="0" w:footer="0" w:gutter="0"/>
          <w:cols w:space="720" w:equalWidth="0">
            <w:col w:w="10080"/>
          </w:cols>
        </w:sectPr>
      </w:pPr>
    </w:p>
    <w:p w:rsidR="00AD020C" w:rsidRDefault="00AD020C">
      <w:pPr>
        <w:spacing w:line="200" w:lineRule="exact"/>
        <w:rPr>
          <w:sz w:val="20"/>
          <w:szCs w:val="20"/>
        </w:rPr>
      </w:pPr>
    </w:p>
    <w:p w:rsidR="00AD020C" w:rsidRDefault="00AD020C">
      <w:pPr>
        <w:spacing w:line="392" w:lineRule="exact"/>
        <w:rPr>
          <w:sz w:val="20"/>
          <w:szCs w:val="20"/>
        </w:rPr>
      </w:pPr>
    </w:p>
    <w:p w:rsidR="00AD020C" w:rsidRDefault="00000000">
      <w:pPr>
        <w:rPr>
          <w:sz w:val="20"/>
          <w:szCs w:val="20"/>
        </w:rPr>
      </w:pPr>
      <w:r>
        <w:rPr>
          <w:rFonts w:ascii="Sylfaen" w:eastAsia="Sylfaen" w:hAnsi="Sylfaen" w:cs="Sylfaen"/>
          <w:b/>
          <w:bCs/>
          <w:sz w:val="24"/>
          <w:szCs w:val="24"/>
          <w:u w:val="single"/>
        </w:rPr>
        <w:t>Theoretical discussion of the topic</w:t>
      </w:r>
    </w:p>
    <w:p w:rsidR="00AD020C" w:rsidRDefault="00AD020C">
      <w:pPr>
        <w:spacing w:line="352" w:lineRule="exact"/>
        <w:rPr>
          <w:sz w:val="20"/>
          <w:szCs w:val="20"/>
        </w:rPr>
      </w:pPr>
    </w:p>
    <w:p w:rsidR="00AD020C" w:rsidRDefault="00000000">
      <w:pPr>
        <w:spacing w:line="332" w:lineRule="auto"/>
        <w:jc w:val="both"/>
        <w:rPr>
          <w:sz w:val="20"/>
          <w:szCs w:val="20"/>
        </w:rPr>
      </w:pPr>
      <w:r>
        <w:rPr>
          <w:rFonts w:ascii="Sylfaen" w:eastAsia="Sylfaen" w:hAnsi="Sylfaen" w:cs="Sylfaen"/>
          <w:sz w:val="24"/>
          <w:szCs w:val="24"/>
        </w:rPr>
        <w:t>In order to try to answer some of the questions stated above, first a theoretical overview of potential causes and conditions of the problem needs to be analyzed. This is why this paper intends to offer an overview of the theoretical discussions, which relates to the topic of this paper.</w:t>
      </w:r>
    </w:p>
    <w:p w:rsidR="00AD020C" w:rsidRDefault="00AD020C">
      <w:pPr>
        <w:spacing w:line="390" w:lineRule="exact"/>
        <w:rPr>
          <w:sz w:val="20"/>
          <w:szCs w:val="20"/>
        </w:rPr>
      </w:pPr>
    </w:p>
    <w:p w:rsidR="00AD020C" w:rsidRDefault="00000000">
      <w:pPr>
        <w:spacing w:line="353" w:lineRule="auto"/>
        <w:jc w:val="both"/>
        <w:rPr>
          <w:sz w:val="20"/>
          <w:szCs w:val="20"/>
        </w:rPr>
      </w:pPr>
      <w:r>
        <w:rPr>
          <w:rFonts w:ascii="Sylfaen" w:eastAsia="Sylfaen" w:hAnsi="Sylfaen" w:cs="Sylfaen"/>
          <w:sz w:val="24"/>
          <w:szCs w:val="24"/>
        </w:rPr>
        <w:t>The theories this paper intends to use to elaborate the discussion is Johan Galtung’s Structural and Cultural Violence theory (Galtung, Violence, Peace, and Peace Research, 1969), which argues that some social structures and social institutions harm people by preventing them from meeting their basic human needs and rights. One of the human needs and rights is the right to peace and the right to education. The Structural Violence concept is also closely related to the paradigm of Elitism in political theory. Politics tends to be dominated by elite groups, those at the top of decision-making structures. The power elite at the top of the system is the dominant group exercising control over most substantial issues and in most systems it is possible to discover a combined elite at work with economic, political and military branches (Marsh &amp; Stoker, 2010).</w:t>
      </w:r>
    </w:p>
    <w:p w:rsidR="00AD020C" w:rsidRDefault="00AD020C">
      <w:pPr>
        <w:spacing w:line="365" w:lineRule="exact"/>
        <w:rPr>
          <w:sz w:val="20"/>
          <w:szCs w:val="20"/>
        </w:rPr>
      </w:pPr>
    </w:p>
    <w:p w:rsidR="00AD020C" w:rsidRDefault="00000000">
      <w:pPr>
        <w:spacing w:line="348" w:lineRule="auto"/>
        <w:jc w:val="both"/>
        <w:rPr>
          <w:sz w:val="20"/>
          <w:szCs w:val="20"/>
        </w:rPr>
      </w:pPr>
      <w:r>
        <w:rPr>
          <w:rFonts w:ascii="Sylfaen" w:eastAsia="Sylfaen" w:hAnsi="Sylfaen" w:cs="Sylfaen"/>
          <w:sz w:val="24"/>
          <w:szCs w:val="24"/>
        </w:rPr>
        <w:t>Additional theories to be used, explain the causes and conditions of conflict and negative peace. These theories are: Maslow’s and Burton’s human needs theory (Maslow, 1943), (Burton, 1990); Gurr’s relative deprivation theory (Gurr, 1970); Dollard’s frustration-aggression theory (Dollard, 1939); and Galtung’s rank disequilibrium theory (Galtung, A Structural Theory of Aggression, 1964). All of the above mentioned theories have a common thread: cognitive dissonance (Festinger, 1957), which seems to be the state the current education system is facing, especially in Georgia.</w:t>
      </w:r>
    </w:p>
    <w:p w:rsidR="00AD020C" w:rsidRDefault="00AD020C">
      <w:pPr>
        <w:spacing w:line="373" w:lineRule="exact"/>
        <w:rPr>
          <w:sz w:val="20"/>
          <w:szCs w:val="20"/>
        </w:rPr>
      </w:pPr>
    </w:p>
    <w:p w:rsidR="00AD020C" w:rsidRDefault="00000000">
      <w:pPr>
        <w:spacing w:line="348" w:lineRule="auto"/>
        <w:jc w:val="both"/>
        <w:rPr>
          <w:sz w:val="20"/>
          <w:szCs w:val="20"/>
        </w:rPr>
      </w:pPr>
      <w:r>
        <w:rPr>
          <w:rFonts w:ascii="Sylfaen" w:eastAsia="Sylfaen" w:hAnsi="Sylfaen" w:cs="Sylfaen"/>
          <w:sz w:val="24"/>
          <w:szCs w:val="24"/>
        </w:rPr>
        <w:t xml:space="preserve">"Dissonance," using it in the way that Leon Festinger (Festinger, 1957) framed in his innovative concept of "cognitive dissonance"; is a breakdown between some preferred state of affairs and an actual state of affairs. One way of managing if not eliminating dissonance is to disguise, deny, or rationalize it. One response to dissonance - which is experienced as "acute psychological distress" by Thomas Kuhn's concept of </w:t>
      </w:r>
      <w:r>
        <w:rPr>
          <w:rFonts w:ascii="Sylfaen" w:eastAsia="Sylfaen" w:hAnsi="Sylfaen" w:cs="Sylfaen"/>
          <w:i/>
          <w:iCs/>
          <w:sz w:val="24"/>
          <w:szCs w:val="24"/>
        </w:rPr>
        <w:t>paradigms</w:t>
      </w:r>
      <w:r>
        <w:rPr>
          <w:rFonts w:ascii="Sylfaen" w:eastAsia="Sylfaen" w:hAnsi="Sylfaen" w:cs="Sylfaen"/>
          <w:sz w:val="24"/>
          <w:szCs w:val="24"/>
        </w:rPr>
        <w:t xml:space="preserve"> and paradigmatic "anomalies" in his classic </w:t>
      </w:r>
      <w:r>
        <w:rPr>
          <w:rFonts w:ascii="Sylfaen" w:eastAsia="Sylfaen" w:hAnsi="Sylfaen" w:cs="Sylfaen"/>
          <w:i/>
          <w:iCs/>
          <w:sz w:val="24"/>
          <w:szCs w:val="24"/>
        </w:rPr>
        <w:t>The Structure of</w:t>
      </w:r>
      <w:r>
        <w:rPr>
          <w:rFonts w:ascii="Sylfaen" w:eastAsia="Sylfaen" w:hAnsi="Sylfaen" w:cs="Sylfaen"/>
          <w:sz w:val="24"/>
          <w:szCs w:val="24"/>
        </w:rPr>
        <w:t xml:space="preserve"> </w:t>
      </w:r>
      <w:r>
        <w:rPr>
          <w:rFonts w:ascii="Sylfaen" w:eastAsia="Sylfaen" w:hAnsi="Sylfaen" w:cs="Sylfaen"/>
          <w:i/>
          <w:iCs/>
          <w:sz w:val="24"/>
          <w:szCs w:val="24"/>
        </w:rPr>
        <w:t xml:space="preserve">Scientific Revolutions </w:t>
      </w:r>
      <w:r>
        <w:rPr>
          <w:rFonts w:ascii="Sylfaen" w:eastAsia="Sylfaen" w:hAnsi="Sylfaen" w:cs="Sylfaen"/>
          <w:sz w:val="24"/>
          <w:szCs w:val="24"/>
        </w:rPr>
        <w:t>(Kuhn, 1962) -- is</w:t>
      </w:r>
      <w:r>
        <w:rPr>
          <w:rFonts w:ascii="Sylfaen" w:eastAsia="Sylfaen" w:hAnsi="Sylfaen" w:cs="Sylfaen"/>
          <w:i/>
          <w:iCs/>
          <w:sz w:val="24"/>
          <w:szCs w:val="24"/>
        </w:rPr>
        <w:t xml:space="preserve"> violence</w:t>
      </w:r>
      <w:r>
        <w:rPr>
          <w:rFonts w:ascii="Sylfaen" w:eastAsia="Sylfaen" w:hAnsi="Sylfaen" w:cs="Sylfaen"/>
          <w:sz w:val="24"/>
          <w:szCs w:val="24"/>
        </w:rPr>
        <w:t>; hence, the identification of each of the above</w:t>
      </w:r>
    </w:p>
    <w:p w:rsidR="00AD020C" w:rsidRDefault="00AD020C">
      <w:pPr>
        <w:spacing w:line="97" w:lineRule="exact"/>
        <w:rPr>
          <w:sz w:val="20"/>
          <w:szCs w:val="20"/>
        </w:rPr>
      </w:pPr>
    </w:p>
    <w:p w:rsidR="00AD020C" w:rsidRDefault="00000000">
      <w:pPr>
        <w:ind w:left="9820" w:hanging="9815"/>
        <w:jc w:val="both"/>
        <w:rPr>
          <w:sz w:val="20"/>
          <w:szCs w:val="20"/>
        </w:rPr>
      </w:pPr>
      <w:r>
        <w:rPr>
          <w:rFonts w:ascii="Sylfaen" w:eastAsia="Sylfaen" w:hAnsi="Sylfaen" w:cs="Sylfaen"/>
          <w:sz w:val="23"/>
          <w:szCs w:val="23"/>
        </w:rPr>
        <w:t xml:space="preserve">listed theories are </w:t>
      </w:r>
      <w:r>
        <w:rPr>
          <w:rFonts w:ascii="Sylfaen" w:eastAsia="Sylfaen" w:hAnsi="Sylfaen" w:cs="Sylfaen"/>
          <w:i/>
          <w:iCs/>
          <w:sz w:val="23"/>
          <w:szCs w:val="23"/>
        </w:rPr>
        <w:t>conflict-relevant</w:t>
      </w:r>
      <w:r>
        <w:rPr>
          <w:rFonts w:ascii="Sylfaen" w:eastAsia="Sylfaen" w:hAnsi="Sylfaen" w:cs="Sylfaen"/>
          <w:sz w:val="23"/>
          <w:szCs w:val="23"/>
        </w:rPr>
        <w:t xml:space="preserve">. Each is subsumed under the dissonance category because each </w:t>
      </w:r>
      <w:r>
        <w:rPr>
          <w:rFonts w:ascii="Cambria" w:eastAsia="Cambria" w:hAnsi="Cambria" w:cs="Cambria"/>
          <w:sz w:val="23"/>
          <w:szCs w:val="23"/>
        </w:rPr>
        <w:t>25</w:t>
      </w:r>
    </w:p>
    <w:p w:rsidR="00AD020C" w:rsidRDefault="00AD020C">
      <w:pPr>
        <w:sectPr w:rsidR="00AD020C">
          <w:type w:val="continuous"/>
          <w:pgSz w:w="12240" w:h="15840"/>
          <w:pgMar w:top="766" w:right="1080" w:bottom="424" w:left="1080" w:header="0" w:footer="0" w:gutter="0"/>
          <w:cols w:space="720" w:equalWidth="0">
            <w:col w:w="10080"/>
          </w:cols>
        </w:sectPr>
      </w:pPr>
    </w:p>
    <w:p w:rsidR="00AD020C" w:rsidRDefault="00000000">
      <w:pPr>
        <w:jc w:val="center"/>
        <w:rPr>
          <w:sz w:val="20"/>
          <w:szCs w:val="20"/>
        </w:rPr>
      </w:pPr>
      <w:bookmarkStart w:id="4" w:name="page5"/>
      <w:bookmarkEnd w:id="4"/>
      <w:r>
        <w:rPr>
          <w:rFonts w:ascii="Sylfaen" w:eastAsia="Sylfaen" w:hAnsi="Sylfaen" w:cs="Sylfaen"/>
          <w:i/>
          <w:iCs/>
          <w:sz w:val="23"/>
          <w:szCs w:val="23"/>
        </w:rPr>
        <w:lastRenderedPageBreak/>
        <w:t>Environment and Society, N2, December, 2020, pp. 22-34</w:t>
      </w:r>
    </w:p>
    <w:p w:rsidR="00AD020C" w:rsidRDefault="00000000">
      <w:pPr>
        <w:spacing w:line="20" w:lineRule="exact"/>
        <w:rPr>
          <w:sz w:val="20"/>
          <w:szCs w:val="20"/>
        </w:rPr>
      </w:pPr>
      <w:r>
        <w:rPr>
          <w:noProof/>
          <w:sz w:val="20"/>
          <w:szCs w:val="20"/>
        </w:rPr>
        <w:drawing>
          <wp:anchor distT="0" distB="0" distL="114300" distR="114300" simplePos="0" relativeHeight="251656192" behindDoc="1" locked="0" layoutInCell="0" allowOverlap="1">
            <wp:simplePos x="0" y="0"/>
            <wp:positionH relativeFrom="column">
              <wp:posOffset>-17780</wp:posOffset>
            </wp:positionH>
            <wp:positionV relativeFrom="paragraph">
              <wp:posOffset>17780</wp:posOffset>
            </wp:positionV>
            <wp:extent cx="6438900" cy="63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srcRect/>
                    <a:stretch>
                      <a:fillRect/>
                    </a:stretch>
                  </pic:blipFill>
                  <pic:spPr bwMode="auto">
                    <a:xfrm>
                      <a:off x="0" y="0"/>
                      <a:ext cx="6438900" cy="6350"/>
                    </a:xfrm>
                    <a:prstGeom prst="rect">
                      <a:avLst/>
                    </a:prstGeom>
                    <a:noFill/>
                  </pic:spPr>
                </pic:pic>
              </a:graphicData>
            </a:graphic>
          </wp:anchor>
        </w:drawing>
      </w:r>
    </w:p>
    <w:p w:rsidR="00AD020C" w:rsidRDefault="00AD020C">
      <w:pPr>
        <w:sectPr w:rsidR="00AD020C">
          <w:pgSz w:w="12240" w:h="15840"/>
          <w:pgMar w:top="766" w:right="1080" w:bottom="164" w:left="1080" w:header="0" w:footer="0" w:gutter="0"/>
          <w:cols w:space="720" w:equalWidth="0">
            <w:col w:w="10080"/>
          </w:cols>
        </w:sectPr>
      </w:pPr>
    </w:p>
    <w:p w:rsidR="00AD020C" w:rsidRDefault="00AD020C">
      <w:pPr>
        <w:spacing w:line="200" w:lineRule="exact"/>
        <w:rPr>
          <w:sz w:val="20"/>
          <w:szCs w:val="20"/>
        </w:rPr>
      </w:pPr>
    </w:p>
    <w:p w:rsidR="00AD020C" w:rsidRDefault="00AD020C">
      <w:pPr>
        <w:spacing w:line="200" w:lineRule="exact"/>
        <w:rPr>
          <w:sz w:val="20"/>
          <w:szCs w:val="20"/>
        </w:rPr>
      </w:pPr>
    </w:p>
    <w:p w:rsidR="00AD020C" w:rsidRDefault="00AD020C">
      <w:pPr>
        <w:spacing w:line="265" w:lineRule="exact"/>
        <w:rPr>
          <w:sz w:val="20"/>
          <w:szCs w:val="20"/>
        </w:rPr>
      </w:pPr>
    </w:p>
    <w:p w:rsidR="00AD020C" w:rsidRDefault="00000000">
      <w:pPr>
        <w:spacing w:line="350" w:lineRule="auto"/>
        <w:jc w:val="both"/>
        <w:rPr>
          <w:sz w:val="20"/>
          <w:szCs w:val="20"/>
        </w:rPr>
      </w:pPr>
      <w:r>
        <w:rPr>
          <w:rFonts w:ascii="Sylfaen" w:eastAsia="Sylfaen" w:hAnsi="Sylfaen" w:cs="Sylfaen"/>
          <w:sz w:val="24"/>
          <w:szCs w:val="24"/>
        </w:rPr>
        <w:t>reflects, in some way, that essential "breakdown" between a preferred state and an actual state of affairs. Which is particularly relevant to the context of discussing what policies regarding education and the content by which the education systems would be guided should be based on in order to promote conflict transformation and peacebuilding. This is especially the case, when there is a never-ending vicious cycle of discussions on what exactly needs to be done, what kind of a paradigm shift needs to be introduced and implemented within the education system in order to trigger substantial changes and outcomes.</w:t>
      </w:r>
    </w:p>
    <w:p w:rsidR="00AD020C" w:rsidRDefault="00AD020C">
      <w:pPr>
        <w:spacing w:line="374" w:lineRule="exact"/>
        <w:rPr>
          <w:sz w:val="20"/>
          <w:szCs w:val="20"/>
        </w:rPr>
      </w:pPr>
    </w:p>
    <w:p w:rsidR="00AD020C" w:rsidRDefault="00000000">
      <w:pPr>
        <w:spacing w:line="353" w:lineRule="auto"/>
        <w:jc w:val="both"/>
        <w:rPr>
          <w:sz w:val="20"/>
          <w:szCs w:val="20"/>
        </w:rPr>
      </w:pPr>
      <w:r>
        <w:rPr>
          <w:rFonts w:ascii="Sylfaen" w:eastAsia="Sylfaen" w:hAnsi="Sylfaen" w:cs="Sylfaen"/>
          <w:sz w:val="24"/>
          <w:szCs w:val="24"/>
        </w:rPr>
        <w:t xml:space="preserve">Structural violence (Galtung, A Structural Theory of Aggression, 1964) refers to a "nonpreferred" state of affairs whereby members of a group, usually a minority </w:t>
      </w:r>
      <w:r>
        <w:rPr>
          <w:rFonts w:ascii="Sylfaen" w:eastAsia="Sylfaen" w:hAnsi="Sylfaen" w:cs="Sylfaen"/>
          <w:i/>
          <w:iCs/>
          <w:sz w:val="24"/>
          <w:szCs w:val="24"/>
        </w:rPr>
        <w:t>outgroup</w:t>
      </w:r>
      <w:r>
        <w:rPr>
          <w:rFonts w:ascii="Sylfaen" w:eastAsia="Sylfaen" w:hAnsi="Sylfaen" w:cs="Sylfaen"/>
          <w:sz w:val="24"/>
          <w:szCs w:val="24"/>
        </w:rPr>
        <w:t xml:space="preserve"> configured in racial, ethnic, national, religious, class, professional, regional, gender, sexual orientation, and/or other terms, are denied access to political, social, economic, educational, security and other resources typically enjoyed and presided over by the mainstream dominant </w:t>
      </w:r>
      <w:r>
        <w:rPr>
          <w:rFonts w:ascii="Sylfaen" w:eastAsia="Sylfaen" w:hAnsi="Sylfaen" w:cs="Sylfaen"/>
          <w:i/>
          <w:iCs/>
          <w:sz w:val="24"/>
          <w:szCs w:val="24"/>
        </w:rPr>
        <w:t>ingroup[s</w:t>
      </w:r>
      <w:r>
        <w:rPr>
          <w:rFonts w:ascii="Sylfaen" w:eastAsia="Sylfaen" w:hAnsi="Sylfaen" w:cs="Sylfaen"/>
          <w:sz w:val="24"/>
          <w:szCs w:val="24"/>
        </w:rPr>
        <w:t xml:space="preserve">] in society. The denial of access occurs not because of what the minority group members have done, but because of </w:t>
      </w:r>
      <w:r>
        <w:rPr>
          <w:rFonts w:ascii="Sylfaen" w:eastAsia="Sylfaen" w:hAnsi="Sylfaen" w:cs="Sylfaen"/>
          <w:i/>
          <w:iCs/>
          <w:sz w:val="24"/>
          <w:szCs w:val="24"/>
        </w:rPr>
        <w:t>who</w:t>
      </w:r>
      <w:r>
        <w:rPr>
          <w:rFonts w:ascii="Sylfaen" w:eastAsia="Sylfaen" w:hAnsi="Sylfaen" w:cs="Sylfaen"/>
          <w:sz w:val="24"/>
          <w:szCs w:val="24"/>
        </w:rPr>
        <w:t xml:space="preserve"> </w:t>
      </w:r>
      <w:r>
        <w:rPr>
          <w:rFonts w:ascii="Sylfaen" w:eastAsia="Sylfaen" w:hAnsi="Sylfaen" w:cs="Sylfaen"/>
          <w:i/>
          <w:iCs/>
          <w:sz w:val="24"/>
          <w:szCs w:val="24"/>
        </w:rPr>
        <w:t>they are</w:t>
      </w:r>
      <w:r>
        <w:rPr>
          <w:rFonts w:ascii="Sylfaen" w:eastAsia="Sylfaen" w:hAnsi="Sylfaen" w:cs="Sylfaen"/>
          <w:sz w:val="24"/>
          <w:szCs w:val="24"/>
        </w:rPr>
        <w:t>. Initially, structural violence can exist without being perceived as such either by those who</w:t>
      </w:r>
      <w:r>
        <w:rPr>
          <w:rFonts w:ascii="Sylfaen" w:eastAsia="Sylfaen" w:hAnsi="Sylfaen" w:cs="Sylfaen"/>
          <w:i/>
          <w:iCs/>
          <w:sz w:val="24"/>
          <w:szCs w:val="24"/>
        </w:rPr>
        <w:t xml:space="preserve"> </w:t>
      </w:r>
      <w:r>
        <w:rPr>
          <w:rFonts w:ascii="Sylfaen" w:eastAsia="Sylfaen" w:hAnsi="Sylfaen" w:cs="Sylfaen"/>
          <w:sz w:val="24"/>
          <w:szCs w:val="24"/>
        </w:rPr>
        <w:t>are privileged by it or those who are victimized by it. In this sense, we can talk of it only as an abstract concept or as something that exists but which is perceived only by outsiders (potential 3rd parties).</w:t>
      </w:r>
    </w:p>
    <w:p w:rsidR="00AD020C" w:rsidRDefault="00AD020C">
      <w:pPr>
        <w:spacing w:line="200" w:lineRule="exact"/>
        <w:rPr>
          <w:sz w:val="20"/>
          <w:szCs w:val="20"/>
        </w:rPr>
      </w:pPr>
    </w:p>
    <w:p w:rsidR="00AD020C" w:rsidRDefault="00AD020C">
      <w:pPr>
        <w:spacing w:line="367" w:lineRule="exact"/>
        <w:rPr>
          <w:sz w:val="20"/>
          <w:szCs w:val="20"/>
        </w:rPr>
      </w:pPr>
    </w:p>
    <w:p w:rsidR="00AD020C" w:rsidRDefault="00000000">
      <w:pPr>
        <w:spacing w:line="341" w:lineRule="auto"/>
        <w:jc w:val="both"/>
        <w:rPr>
          <w:sz w:val="20"/>
          <w:szCs w:val="20"/>
        </w:rPr>
      </w:pPr>
      <w:r>
        <w:rPr>
          <w:rFonts w:ascii="Sylfaen" w:eastAsia="Sylfaen" w:hAnsi="Sylfaen" w:cs="Sylfaen"/>
          <w:sz w:val="24"/>
          <w:szCs w:val="24"/>
        </w:rPr>
        <w:t>The provided explanation of the structural violence concept is particularly relevant to those education systems, which do not see that their policies and content creates a problematic environment for establishing a society with peace values, which in turn would enable conflict transformation processes to take place.</w:t>
      </w:r>
    </w:p>
    <w:p w:rsidR="00AD020C" w:rsidRDefault="00AD020C">
      <w:pPr>
        <w:spacing w:line="200" w:lineRule="exact"/>
        <w:rPr>
          <w:sz w:val="20"/>
          <w:szCs w:val="20"/>
        </w:rPr>
      </w:pPr>
    </w:p>
    <w:p w:rsidR="00AD020C" w:rsidRDefault="00AD020C">
      <w:pPr>
        <w:spacing w:line="373" w:lineRule="exact"/>
        <w:rPr>
          <w:sz w:val="20"/>
          <w:szCs w:val="20"/>
        </w:rPr>
      </w:pPr>
    </w:p>
    <w:p w:rsidR="00AD020C" w:rsidRDefault="00000000">
      <w:pPr>
        <w:spacing w:line="341" w:lineRule="auto"/>
        <w:jc w:val="both"/>
        <w:rPr>
          <w:sz w:val="20"/>
          <w:szCs w:val="20"/>
        </w:rPr>
      </w:pPr>
      <w:r>
        <w:rPr>
          <w:rFonts w:ascii="Sylfaen" w:eastAsia="Sylfaen" w:hAnsi="Sylfaen" w:cs="Sylfaen"/>
          <w:sz w:val="24"/>
          <w:szCs w:val="24"/>
        </w:rPr>
        <w:t xml:space="preserve">First step towards a paradigm shift, however is perception: when structural violence is perceived, then </w:t>
      </w:r>
      <w:r>
        <w:rPr>
          <w:rFonts w:ascii="Sylfaen" w:eastAsia="Sylfaen" w:hAnsi="Sylfaen" w:cs="Sylfaen"/>
          <w:i/>
          <w:iCs/>
          <w:sz w:val="24"/>
          <w:szCs w:val="24"/>
        </w:rPr>
        <w:t>cultural violence</w:t>
      </w:r>
      <w:r>
        <w:rPr>
          <w:rFonts w:ascii="Sylfaen" w:eastAsia="Sylfaen" w:hAnsi="Sylfaen" w:cs="Sylfaen"/>
          <w:sz w:val="24"/>
          <w:szCs w:val="24"/>
        </w:rPr>
        <w:t xml:space="preserve"> (Galtung, Violence, Peace, and Peace Research, 1969) </w:t>
      </w:r>
      <w:r>
        <w:rPr>
          <w:rFonts w:ascii="Sylfaen" w:eastAsia="Sylfaen" w:hAnsi="Sylfaen" w:cs="Sylfaen"/>
          <w:i/>
          <w:iCs/>
          <w:sz w:val="24"/>
          <w:szCs w:val="24"/>
        </w:rPr>
        <w:t>emerges</w:t>
      </w:r>
      <w:r>
        <w:rPr>
          <w:rFonts w:ascii="Sylfaen" w:eastAsia="Sylfaen" w:hAnsi="Sylfaen" w:cs="Sylfaen"/>
          <w:sz w:val="24"/>
          <w:szCs w:val="24"/>
        </w:rPr>
        <w:t>: the conscious approval, affirmation, and celebration of structural violence by members of the dominant "ingroup" in the media, entertainment, school books, and other forms in the human symbolic environment</w:t>
      </w:r>
    </w:p>
    <w:p w:rsidR="00AD020C" w:rsidRDefault="00AD020C">
      <w:pPr>
        <w:sectPr w:rsidR="00AD020C">
          <w:type w:val="continuous"/>
          <w:pgSz w:w="12240" w:h="15840"/>
          <w:pgMar w:top="766" w:right="1080" w:bottom="164" w:left="1080" w:header="0" w:footer="0" w:gutter="0"/>
          <w:cols w:space="720" w:equalWidth="0">
            <w:col w:w="10080"/>
          </w:cols>
        </w:sectPr>
      </w:pPr>
    </w:p>
    <w:p w:rsidR="00AD020C" w:rsidRDefault="00AD020C">
      <w:pPr>
        <w:spacing w:line="126" w:lineRule="exact"/>
        <w:rPr>
          <w:sz w:val="20"/>
          <w:szCs w:val="20"/>
        </w:rPr>
      </w:pPr>
    </w:p>
    <w:p w:rsidR="00AD020C" w:rsidRDefault="00000000">
      <w:pPr>
        <w:ind w:left="9820"/>
        <w:rPr>
          <w:sz w:val="20"/>
          <w:szCs w:val="20"/>
        </w:rPr>
      </w:pPr>
      <w:r>
        <w:rPr>
          <w:rFonts w:ascii="Cambria" w:eastAsia="Cambria" w:hAnsi="Cambria" w:cs="Cambria"/>
          <w:sz w:val="23"/>
          <w:szCs w:val="23"/>
        </w:rPr>
        <w:t>26</w:t>
      </w:r>
    </w:p>
    <w:p w:rsidR="00AD020C" w:rsidRDefault="00AD020C">
      <w:pPr>
        <w:sectPr w:rsidR="00AD020C">
          <w:type w:val="continuous"/>
          <w:pgSz w:w="12240" w:h="15840"/>
          <w:pgMar w:top="766" w:right="1080" w:bottom="164" w:left="1080" w:header="0" w:footer="0" w:gutter="0"/>
          <w:cols w:space="720" w:equalWidth="0">
            <w:col w:w="10080"/>
          </w:cols>
        </w:sectPr>
      </w:pPr>
    </w:p>
    <w:p w:rsidR="00AD020C" w:rsidRDefault="00000000">
      <w:pPr>
        <w:jc w:val="center"/>
        <w:rPr>
          <w:sz w:val="20"/>
          <w:szCs w:val="20"/>
        </w:rPr>
      </w:pPr>
      <w:bookmarkStart w:id="5" w:name="page6"/>
      <w:bookmarkEnd w:id="5"/>
      <w:r>
        <w:rPr>
          <w:rFonts w:ascii="Sylfaen" w:eastAsia="Sylfaen" w:hAnsi="Sylfaen" w:cs="Sylfaen"/>
          <w:i/>
          <w:iCs/>
          <w:sz w:val="23"/>
          <w:szCs w:val="23"/>
        </w:rPr>
        <w:lastRenderedPageBreak/>
        <w:t>Environment and Society, N2, December, 2020, pp. 22-34</w:t>
      </w:r>
    </w:p>
    <w:p w:rsidR="00AD020C" w:rsidRDefault="00000000">
      <w:pPr>
        <w:spacing w:line="20" w:lineRule="exact"/>
        <w:rPr>
          <w:sz w:val="20"/>
          <w:szCs w:val="20"/>
        </w:rPr>
      </w:pPr>
      <w:r>
        <w:rPr>
          <w:noProof/>
          <w:sz w:val="20"/>
          <w:szCs w:val="20"/>
        </w:rPr>
        <w:drawing>
          <wp:anchor distT="0" distB="0" distL="114300" distR="114300" simplePos="0" relativeHeight="251657216" behindDoc="1" locked="0" layoutInCell="0" allowOverlap="1">
            <wp:simplePos x="0" y="0"/>
            <wp:positionH relativeFrom="column">
              <wp:posOffset>-17780</wp:posOffset>
            </wp:positionH>
            <wp:positionV relativeFrom="paragraph">
              <wp:posOffset>17780</wp:posOffset>
            </wp:positionV>
            <wp:extent cx="6438900" cy="63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srcRect/>
                    <a:stretch>
                      <a:fillRect/>
                    </a:stretch>
                  </pic:blipFill>
                  <pic:spPr bwMode="auto">
                    <a:xfrm>
                      <a:off x="0" y="0"/>
                      <a:ext cx="6438900" cy="6350"/>
                    </a:xfrm>
                    <a:prstGeom prst="rect">
                      <a:avLst/>
                    </a:prstGeom>
                    <a:noFill/>
                  </pic:spPr>
                </pic:pic>
              </a:graphicData>
            </a:graphic>
          </wp:anchor>
        </w:drawing>
      </w:r>
    </w:p>
    <w:p w:rsidR="00AD020C" w:rsidRDefault="00AD020C">
      <w:pPr>
        <w:sectPr w:rsidR="00AD020C">
          <w:pgSz w:w="12240" w:h="15840"/>
          <w:pgMar w:top="766" w:right="1080" w:bottom="164" w:left="1080" w:header="0" w:footer="0" w:gutter="0"/>
          <w:cols w:space="720" w:equalWidth="0">
            <w:col w:w="10080"/>
          </w:cols>
        </w:sectPr>
      </w:pPr>
    </w:p>
    <w:p w:rsidR="00AD020C" w:rsidRDefault="00AD020C">
      <w:pPr>
        <w:spacing w:line="200" w:lineRule="exact"/>
        <w:rPr>
          <w:sz w:val="20"/>
          <w:szCs w:val="20"/>
        </w:rPr>
      </w:pPr>
    </w:p>
    <w:p w:rsidR="00AD020C" w:rsidRDefault="00AD020C">
      <w:pPr>
        <w:spacing w:line="392" w:lineRule="exact"/>
        <w:rPr>
          <w:sz w:val="20"/>
          <w:szCs w:val="20"/>
        </w:rPr>
      </w:pPr>
    </w:p>
    <w:p w:rsidR="00AD020C" w:rsidRDefault="00000000">
      <w:pPr>
        <w:rPr>
          <w:sz w:val="20"/>
          <w:szCs w:val="20"/>
        </w:rPr>
      </w:pPr>
      <w:r>
        <w:rPr>
          <w:rFonts w:ascii="Sylfaen" w:eastAsia="Sylfaen" w:hAnsi="Sylfaen" w:cs="Sylfaen"/>
          <w:sz w:val="24"/>
          <w:szCs w:val="24"/>
        </w:rPr>
        <w:t>that binds people together in common traditions, practices, religion, language, history, and the like.</w:t>
      </w:r>
    </w:p>
    <w:p w:rsidR="00AD020C" w:rsidRDefault="00AD020C">
      <w:pPr>
        <w:spacing w:line="200" w:lineRule="exact"/>
        <w:rPr>
          <w:sz w:val="20"/>
          <w:szCs w:val="20"/>
        </w:rPr>
      </w:pPr>
    </w:p>
    <w:p w:rsidR="00AD020C" w:rsidRDefault="00AD020C">
      <w:pPr>
        <w:spacing w:line="200" w:lineRule="exact"/>
        <w:rPr>
          <w:sz w:val="20"/>
          <w:szCs w:val="20"/>
        </w:rPr>
      </w:pPr>
    </w:p>
    <w:p w:rsidR="00AD020C" w:rsidRDefault="00AD020C">
      <w:pPr>
        <w:spacing w:line="305" w:lineRule="exact"/>
        <w:rPr>
          <w:sz w:val="20"/>
          <w:szCs w:val="20"/>
        </w:rPr>
      </w:pPr>
    </w:p>
    <w:p w:rsidR="00AD020C" w:rsidRDefault="00000000">
      <w:pPr>
        <w:spacing w:line="353" w:lineRule="auto"/>
        <w:jc w:val="both"/>
        <w:rPr>
          <w:sz w:val="20"/>
          <w:szCs w:val="20"/>
        </w:rPr>
      </w:pPr>
      <w:r>
        <w:rPr>
          <w:rFonts w:ascii="Sylfaen" w:eastAsia="Sylfaen" w:hAnsi="Sylfaen" w:cs="Sylfaen"/>
          <w:sz w:val="24"/>
          <w:szCs w:val="24"/>
        </w:rPr>
        <w:t>This theory can be used to explain how cultural violence can be both used to sustain the current state of affairs and also can be drenched into the current education system, justifying the processes led or driven by dominant «ingroups» in terms of preventing change in the education system in Georgia in order to maintain the power over shaping societies mindsets. One such dominant ingroup can be considered the Georgian Orthodox Church, which has previously intervened in political decisions regarding reforms in the education system. For instance, the Georgian Orthodox Church was against implementing Civics Education classes in Georgian schools and had used cultural violence to undermine potential reforms and justify the importance of sustaining the current system.</w:t>
      </w:r>
    </w:p>
    <w:p w:rsidR="00AD020C" w:rsidRDefault="00AD020C">
      <w:pPr>
        <w:spacing w:line="200" w:lineRule="exact"/>
        <w:rPr>
          <w:sz w:val="20"/>
          <w:szCs w:val="20"/>
        </w:rPr>
      </w:pPr>
    </w:p>
    <w:p w:rsidR="00AD020C" w:rsidRDefault="00AD020C">
      <w:pPr>
        <w:spacing w:line="359" w:lineRule="exact"/>
        <w:rPr>
          <w:sz w:val="20"/>
          <w:szCs w:val="20"/>
        </w:rPr>
      </w:pPr>
    </w:p>
    <w:p w:rsidR="00AD020C" w:rsidRDefault="00000000">
      <w:pPr>
        <w:spacing w:line="303" w:lineRule="auto"/>
        <w:jc w:val="both"/>
        <w:rPr>
          <w:sz w:val="20"/>
          <w:szCs w:val="20"/>
        </w:rPr>
      </w:pPr>
      <w:r>
        <w:rPr>
          <w:rFonts w:ascii="Sylfaen" w:eastAsia="Sylfaen" w:hAnsi="Sylfaen" w:cs="Sylfaen"/>
          <w:sz w:val="24"/>
          <w:szCs w:val="24"/>
        </w:rPr>
        <w:t>When the shift from structural to cultural violence is occurred, it can do so because of relative deprivation and/or rank disequilibrium.</w:t>
      </w:r>
    </w:p>
    <w:p w:rsidR="00AD020C" w:rsidRDefault="00AD020C">
      <w:pPr>
        <w:spacing w:line="200" w:lineRule="exact"/>
        <w:rPr>
          <w:sz w:val="20"/>
          <w:szCs w:val="20"/>
        </w:rPr>
      </w:pPr>
    </w:p>
    <w:p w:rsidR="00AD020C" w:rsidRDefault="00AD020C">
      <w:pPr>
        <w:spacing w:line="200" w:lineRule="exact"/>
        <w:rPr>
          <w:sz w:val="20"/>
          <w:szCs w:val="20"/>
        </w:rPr>
      </w:pPr>
    </w:p>
    <w:p w:rsidR="00AD020C" w:rsidRDefault="00AD020C">
      <w:pPr>
        <w:spacing w:line="223" w:lineRule="exact"/>
        <w:rPr>
          <w:sz w:val="20"/>
          <w:szCs w:val="20"/>
        </w:rPr>
      </w:pPr>
    </w:p>
    <w:p w:rsidR="00AD020C" w:rsidRDefault="00000000">
      <w:pPr>
        <w:spacing w:line="346" w:lineRule="auto"/>
        <w:jc w:val="both"/>
        <w:rPr>
          <w:sz w:val="20"/>
          <w:szCs w:val="20"/>
        </w:rPr>
      </w:pPr>
      <w:r>
        <w:rPr>
          <w:rFonts w:ascii="Sylfaen" w:eastAsia="Sylfaen" w:hAnsi="Sylfaen" w:cs="Sylfaen"/>
          <w:sz w:val="24"/>
          <w:szCs w:val="24"/>
        </w:rPr>
        <w:t xml:space="preserve">For Ted Robert Gurr, </w:t>
      </w:r>
      <w:r>
        <w:rPr>
          <w:rFonts w:ascii="Sylfaen" w:eastAsia="Sylfaen" w:hAnsi="Sylfaen" w:cs="Sylfaen"/>
          <w:i/>
          <w:iCs/>
          <w:sz w:val="24"/>
          <w:szCs w:val="24"/>
        </w:rPr>
        <w:t>relative deprivation</w:t>
      </w:r>
      <w:r>
        <w:rPr>
          <w:rFonts w:ascii="Sylfaen" w:eastAsia="Sylfaen" w:hAnsi="Sylfaen" w:cs="Sylfaen"/>
          <w:sz w:val="24"/>
          <w:szCs w:val="24"/>
        </w:rPr>
        <w:t xml:space="preserve"> (Gurr, 1970) occurs when members of the minority group start to experience a situation where their "value expectancies" (VE: resources, rights, and services to which they feel entitled [</w:t>
      </w:r>
      <w:r>
        <w:rPr>
          <w:rFonts w:ascii="Sylfaen" w:eastAsia="Sylfaen" w:hAnsi="Sylfaen" w:cs="Sylfaen"/>
          <w:i/>
          <w:iCs/>
          <w:sz w:val="24"/>
          <w:szCs w:val="24"/>
        </w:rPr>
        <w:t>a preferred state of affairs</w:t>
      </w:r>
      <w:r>
        <w:rPr>
          <w:rFonts w:ascii="Sylfaen" w:eastAsia="Sylfaen" w:hAnsi="Sylfaen" w:cs="Sylfaen"/>
          <w:sz w:val="24"/>
          <w:szCs w:val="24"/>
        </w:rPr>
        <w:t xml:space="preserve">] are greater in value than their "value capabilities" (VC: resources, rights, and services which they feel they are </w:t>
      </w:r>
      <w:r>
        <w:rPr>
          <w:rFonts w:ascii="Sylfaen" w:eastAsia="Sylfaen" w:hAnsi="Sylfaen" w:cs="Sylfaen"/>
          <w:i/>
          <w:iCs/>
          <w:sz w:val="24"/>
          <w:szCs w:val="24"/>
        </w:rPr>
        <w:t>realistically</w:t>
      </w:r>
      <w:r>
        <w:rPr>
          <w:rFonts w:ascii="Sylfaen" w:eastAsia="Sylfaen" w:hAnsi="Sylfaen" w:cs="Sylfaen"/>
          <w:sz w:val="24"/>
          <w:szCs w:val="24"/>
        </w:rPr>
        <w:t xml:space="preserve"> likely to acquire and be able to hold on to [</w:t>
      </w:r>
      <w:r>
        <w:rPr>
          <w:rFonts w:ascii="Sylfaen" w:eastAsia="Sylfaen" w:hAnsi="Sylfaen" w:cs="Sylfaen"/>
          <w:i/>
          <w:iCs/>
          <w:sz w:val="24"/>
          <w:szCs w:val="24"/>
        </w:rPr>
        <w:t>an actual state of affairs</w:t>
      </w:r>
      <w:r>
        <w:rPr>
          <w:rFonts w:ascii="Sylfaen" w:eastAsia="Sylfaen" w:hAnsi="Sylfaen" w:cs="Sylfaen"/>
          <w:sz w:val="24"/>
          <w:szCs w:val="24"/>
        </w:rPr>
        <w:t>]).</w:t>
      </w:r>
    </w:p>
    <w:p w:rsidR="00AD020C" w:rsidRDefault="00AD020C">
      <w:pPr>
        <w:spacing w:line="200" w:lineRule="exact"/>
        <w:rPr>
          <w:sz w:val="20"/>
          <w:szCs w:val="20"/>
        </w:rPr>
      </w:pPr>
    </w:p>
    <w:p w:rsidR="00AD020C" w:rsidRDefault="00AD020C">
      <w:pPr>
        <w:spacing w:line="369" w:lineRule="exact"/>
        <w:rPr>
          <w:sz w:val="20"/>
          <w:szCs w:val="20"/>
        </w:rPr>
      </w:pPr>
    </w:p>
    <w:p w:rsidR="00AD020C" w:rsidRDefault="00000000">
      <w:pPr>
        <w:spacing w:line="341" w:lineRule="auto"/>
        <w:jc w:val="both"/>
        <w:rPr>
          <w:sz w:val="20"/>
          <w:szCs w:val="20"/>
        </w:rPr>
      </w:pPr>
      <w:r>
        <w:rPr>
          <w:rFonts w:ascii="Sylfaen" w:eastAsia="Sylfaen" w:hAnsi="Sylfaen" w:cs="Sylfaen"/>
          <w:sz w:val="24"/>
          <w:szCs w:val="24"/>
        </w:rPr>
        <w:t>In the realm of democracy, globalization, access to technologies and information, and open media, it is only natural that many members of the society, especially those informed and educated about human rights have assessed the value capabilities compared to value expectancies and therefore have questioned the justice of the current state of affairs in the education system.</w:t>
      </w:r>
    </w:p>
    <w:p w:rsidR="00AD020C" w:rsidRDefault="00AD020C">
      <w:pPr>
        <w:spacing w:line="200" w:lineRule="exact"/>
        <w:rPr>
          <w:sz w:val="20"/>
          <w:szCs w:val="20"/>
        </w:rPr>
      </w:pPr>
    </w:p>
    <w:p w:rsidR="00AD020C" w:rsidRDefault="00AD020C">
      <w:pPr>
        <w:spacing w:line="372" w:lineRule="exact"/>
        <w:rPr>
          <w:sz w:val="20"/>
          <w:szCs w:val="20"/>
        </w:rPr>
      </w:pPr>
    </w:p>
    <w:p w:rsidR="00AD020C" w:rsidRDefault="00000000">
      <w:pPr>
        <w:spacing w:line="296" w:lineRule="auto"/>
        <w:jc w:val="both"/>
        <w:rPr>
          <w:sz w:val="20"/>
          <w:szCs w:val="20"/>
        </w:rPr>
      </w:pPr>
      <w:r>
        <w:rPr>
          <w:rFonts w:ascii="Sylfaen" w:eastAsia="Sylfaen" w:hAnsi="Sylfaen" w:cs="Sylfaen"/>
          <w:i/>
          <w:iCs/>
          <w:sz w:val="24"/>
          <w:szCs w:val="24"/>
        </w:rPr>
        <w:t xml:space="preserve">Rank disequilibrium </w:t>
      </w:r>
      <w:r>
        <w:rPr>
          <w:rFonts w:ascii="Sylfaen" w:eastAsia="Sylfaen" w:hAnsi="Sylfaen" w:cs="Sylfaen"/>
          <w:sz w:val="24"/>
          <w:szCs w:val="24"/>
        </w:rPr>
        <w:t>occurs when members of the minority group feel they are indexed (by</w:t>
      </w:r>
      <w:r>
        <w:rPr>
          <w:rFonts w:ascii="Sylfaen" w:eastAsia="Sylfaen" w:hAnsi="Sylfaen" w:cs="Sylfaen"/>
          <w:i/>
          <w:iCs/>
          <w:sz w:val="24"/>
          <w:szCs w:val="24"/>
        </w:rPr>
        <w:t xml:space="preserve"> </w:t>
      </w:r>
      <w:r>
        <w:rPr>
          <w:rFonts w:ascii="Sylfaen" w:eastAsia="Sylfaen" w:hAnsi="Sylfaen" w:cs="Sylfaen"/>
          <w:sz w:val="24"/>
          <w:szCs w:val="24"/>
        </w:rPr>
        <w:t>themselves and/or others) as "high" on one or a small number of socio-economic indicators (e.g.,</w:t>
      </w:r>
    </w:p>
    <w:p w:rsidR="00AD020C" w:rsidRDefault="00AD020C">
      <w:pPr>
        <w:sectPr w:rsidR="00AD020C">
          <w:type w:val="continuous"/>
          <w:pgSz w:w="12240" w:h="15840"/>
          <w:pgMar w:top="766" w:right="1080" w:bottom="164" w:left="1080" w:header="0" w:footer="0" w:gutter="0"/>
          <w:cols w:space="720" w:equalWidth="0">
            <w:col w:w="10080"/>
          </w:cols>
        </w:sectPr>
      </w:pPr>
    </w:p>
    <w:p w:rsidR="00AD020C" w:rsidRDefault="00000000">
      <w:pPr>
        <w:ind w:left="9820"/>
        <w:rPr>
          <w:sz w:val="20"/>
          <w:szCs w:val="20"/>
        </w:rPr>
      </w:pPr>
      <w:r>
        <w:rPr>
          <w:rFonts w:ascii="Cambria" w:eastAsia="Cambria" w:hAnsi="Cambria" w:cs="Cambria"/>
          <w:sz w:val="23"/>
          <w:szCs w:val="23"/>
        </w:rPr>
        <w:t>27</w:t>
      </w:r>
    </w:p>
    <w:p w:rsidR="00AD020C" w:rsidRDefault="00AD020C">
      <w:pPr>
        <w:sectPr w:rsidR="00AD020C">
          <w:type w:val="continuous"/>
          <w:pgSz w:w="12240" w:h="15840"/>
          <w:pgMar w:top="766" w:right="1080" w:bottom="164" w:left="1080" w:header="0" w:footer="0" w:gutter="0"/>
          <w:cols w:space="720" w:equalWidth="0">
            <w:col w:w="10080"/>
          </w:cols>
        </w:sectPr>
      </w:pPr>
    </w:p>
    <w:p w:rsidR="00AD020C" w:rsidRDefault="00000000">
      <w:pPr>
        <w:jc w:val="center"/>
        <w:rPr>
          <w:sz w:val="20"/>
          <w:szCs w:val="20"/>
        </w:rPr>
      </w:pPr>
      <w:bookmarkStart w:id="6" w:name="page7"/>
      <w:bookmarkEnd w:id="6"/>
      <w:r>
        <w:rPr>
          <w:rFonts w:ascii="Sylfaen" w:eastAsia="Sylfaen" w:hAnsi="Sylfaen" w:cs="Sylfaen"/>
          <w:i/>
          <w:iCs/>
          <w:sz w:val="23"/>
          <w:szCs w:val="23"/>
        </w:rPr>
        <w:lastRenderedPageBreak/>
        <w:t>Environment and Society, N2, December, 2020, pp. 22-34</w:t>
      </w:r>
    </w:p>
    <w:p w:rsidR="00AD020C" w:rsidRDefault="00000000">
      <w:pPr>
        <w:spacing w:line="20" w:lineRule="exact"/>
        <w:rPr>
          <w:sz w:val="20"/>
          <w:szCs w:val="20"/>
        </w:rPr>
      </w:pPr>
      <w:r>
        <w:rPr>
          <w:noProof/>
          <w:sz w:val="20"/>
          <w:szCs w:val="20"/>
        </w:rPr>
        <w:drawing>
          <wp:anchor distT="0" distB="0" distL="114300" distR="114300" simplePos="0" relativeHeight="251658240" behindDoc="1" locked="0" layoutInCell="0" allowOverlap="1">
            <wp:simplePos x="0" y="0"/>
            <wp:positionH relativeFrom="column">
              <wp:posOffset>-17780</wp:posOffset>
            </wp:positionH>
            <wp:positionV relativeFrom="paragraph">
              <wp:posOffset>17780</wp:posOffset>
            </wp:positionV>
            <wp:extent cx="6438900" cy="63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srcRect/>
                    <a:stretch>
                      <a:fillRect/>
                    </a:stretch>
                  </pic:blipFill>
                  <pic:spPr bwMode="auto">
                    <a:xfrm>
                      <a:off x="0" y="0"/>
                      <a:ext cx="6438900" cy="6350"/>
                    </a:xfrm>
                    <a:prstGeom prst="rect">
                      <a:avLst/>
                    </a:prstGeom>
                    <a:noFill/>
                  </pic:spPr>
                </pic:pic>
              </a:graphicData>
            </a:graphic>
          </wp:anchor>
        </w:drawing>
      </w:r>
    </w:p>
    <w:p w:rsidR="00AD020C" w:rsidRDefault="00AD020C">
      <w:pPr>
        <w:sectPr w:rsidR="00AD020C">
          <w:pgSz w:w="12240" w:h="15840"/>
          <w:pgMar w:top="766" w:right="1080" w:bottom="164" w:left="1080" w:header="0" w:footer="0" w:gutter="0"/>
          <w:cols w:space="720" w:equalWidth="0">
            <w:col w:w="10080"/>
          </w:cols>
        </w:sectPr>
      </w:pPr>
    </w:p>
    <w:p w:rsidR="00AD020C" w:rsidRDefault="00AD020C">
      <w:pPr>
        <w:spacing w:line="200" w:lineRule="exact"/>
        <w:rPr>
          <w:sz w:val="20"/>
          <w:szCs w:val="20"/>
        </w:rPr>
      </w:pPr>
    </w:p>
    <w:p w:rsidR="00AD020C" w:rsidRDefault="00AD020C">
      <w:pPr>
        <w:spacing w:line="200" w:lineRule="exact"/>
        <w:rPr>
          <w:sz w:val="20"/>
          <w:szCs w:val="20"/>
        </w:rPr>
      </w:pPr>
    </w:p>
    <w:p w:rsidR="00AD020C" w:rsidRDefault="00AD020C">
      <w:pPr>
        <w:spacing w:line="265" w:lineRule="exact"/>
        <w:rPr>
          <w:sz w:val="20"/>
          <w:szCs w:val="20"/>
        </w:rPr>
      </w:pPr>
    </w:p>
    <w:p w:rsidR="00AD020C" w:rsidRDefault="00000000">
      <w:pPr>
        <w:spacing w:line="332" w:lineRule="auto"/>
        <w:jc w:val="both"/>
        <w:rPr>
          <w:sz w:val="20"/>
          <w:szCs w:val="20"/>
        </w:rPr>
      </w:pPr>
      <w:r>
        <w:rPr>
          <w:rFonts w:ascii="Sylfaen" w:eastAsia="Sylfaen" w:hAnsi="Sylfaen" w:cs="Sylfaen"/>
          <w:sz w:val="24"/>
          <w:szCs w:val="24"/>
        </w:rPr>
        <w:t xml:space="preserve">access to education) but as "low" on all other indicators (e.g., quality and values of education, they have access to, opportunities this education system provides, etc.). In this case, the </w:t>
      </w:r>
      <w:r>
        <w:rPr>
          <w:rFonts w:ascii="Sylfaen" w:eastAsia="Sylfaen" w:hAnsi="Sylfaen" w:cs="Sylfaen"/>
          <w:i/>
          <w:iCs/>
          <w:sz w:val="24"/>
          <w:szCs w:val="24"/>
        </w:rPr>
        <w:t>preferred state of</w:t>
      </w:r>
      <w:r>
        <w:rPr>
          <w:rFonts w:ascii="Sylfaen" w:eastAsia="Sylfaen" w:hAnsi="Sylfaen" w:cs="Sylfaen"/>
          <w:sz w:val="24"/>
          <w:szCs w:val="24"/>
        </w:rPr>
        <w:t xml:space="preserve"> </w:t>
      </w:r>
      <w:r>
        <w:rPr>
          <w:rFonts w:ascii="Sylfaen" w:eastAsia="Sylfaen" w:hAnsi="Sylfaen" w:cs="Sylfaen"/>
          <w:i/>
          <w:iCs/>
          <w:sz w:val="24"/>
          <w:szCs w:val="24"/>
        </w:rPr>
        <w:t xml:space="preserve">affairs </w:t>
      </w:r>
      <w:r>
        <w:rPr>
          <w:rFonts w:ascii="Sylfaen" w:eastAsia="Sylfaen" w:hAnsi="Sylfaen" w:cs="Sylfaen"/>
          <w:sz w:val="24"/>
          <w:szCs w:val="24"/>
        </w:rPr>
        <w:t>is to be "high" on most of the indicators instead of low, which is the</w:t>
      </w:r>
      <w:r>
        <w:rPr>
          <w:rFonts w:ascii="Sylfaen" w:eastAsia="Sylfaen" w:hAnsi="Sylfaen" w:cs="Sylfaen"/>
          <w:i/>
          <w:iCs/>
          <w:sz w:val="24"/>
          <w:szCs w:val="24"/>
        </w:rPr>
        <w:t xml:space="preserve"> actual state</w:t>
      </w:r>
      <w:r>
        <w:rPr>
          <w:rFonts w:ascii="Sylfaen" w:eastAsia="Sylfaen" w:hAnsi="Sylfaen" w:cs="Sylfaen"/>
          <w:sz w:val="24"/>
          <w:szCs w:val="24"/>
        </w:rPr>
        <w:t>.</w:t>
      </w:r>
    </w:p>
    <w:p w:rsidR="00AD020C" w:rsidRDefault="00AD020C">
      <w:pPr>
        <w:spacing w:line="200" w:lineRule="exact"/>
        <w:rPr>
          <w:sz w:val="20"/>
          <w:szCs w:val="20"/>
        </w:rPr>
      </w:pPr>
    </w:p>
    <w:p w:rsidR="00AD020C" w:rsidRDefault="00AD020C">
      <w:pPr>
        <w:spacing w:line="384" w:lineRule="exact"/>
        <w:rPr>
          <w:sz w:val="20"/>
          <w:szCs w:val="20"/>
        </w:rPr>
      </w:pPr>
    </w:p>
    <w:p w:rsidR="00AD020C" w:rsidRDefault="00000000">
      <w:pPr>
        <w:spacing w:line="333" w:lineRule="auto"/>
        <w:jc w:val="both"/>
        <w:rPr>
          <w:sz w:val="20"/>
          <w:szCs w:val="20"/>
        </w:rPr>
      </w:pPr>
      <w:r>
        <w:rPr>
          <w:rFonts w:ascii="Sylfaen" w:eastAsia="Sylfaen" w:hAnsi="Sylfaen" w:cs="Sylfaen"/>
          <w:sz w:val="24"/>
          <w:szCs w:val="24"/>
        </w:rPr>
        <w:t xml:space="preserve">When either relative deprivation and/or rank disequilibrium occurs, it sets off a corresponding emotional experience which can be framed as frustration. Frustration can create a dynamic which allows a conflict between </w:t>
      </w:r>
      <w:r>
        <w:rPr>
          <w:rFonts w:ascii="Sylfaen" w:eastAsia="Sylfaen" w:hAnsi="Sylfaen" w:cs="Sylfaen"/>
          <w:i/>
          <w:iCs/>
          <w:sz w:val="24"/>
          <w:szCs w:val="24"/>
        </w:rPr>
        <w:t>frustrated</w:t>
      </w:r>
      <w:r>
        <w:rPr>
          <w:rFonts w:ascii="Sylfaen" w:eastAsia="Sylfaen" w:hAnsi="Sylfaen" w:cs="Sylfaen"/>
          <w:sz w:val="24"/>
          <w:szCs w:val="24"/>
        </w:rPr>
        <w:t xml:space="preserve"> "victim" and </w:t>
      </w:r>
      <w:r>
        <w:rPr>
          <w:rFonts w:ascii="Sylfaen" w:eastAsia="Sylfaen" w:hAnsi="Sylfaen" w:cs="Sylfaen"/>
          <w:i/>
          <w:iCs/>
          <w:sz w:val="24"/>
          <w:szCs w:val="24"/>
        </w:rPr>
        <w:t>frustrating</w:t>
      </w:r>
      <w:r>
        <w:rPr>
          <w:rFonts w:ascii="Sylfaen" w:eastAsia="Sylfaen" w:hAnsi="Sylfaen" w:cs="Sylfaen"/>
          <w:sz w:val="24"/>
          <w:szCs w:val="24"/>
        </w:rPr>
        <w:t xml:space="preserve"> "victimizer" to </w:t>
      </w:r>
      <w:r>
        <w:rPr>
          <w:rFonts w:ascii="Sylfaen" w:eastAsia="Sylfaen" w:hAnsi="Sylfaen" w:cs="Sylfaen"/>
          <w:i/>
          <w:iCs/>
          <w:sz w:val="24"/>
          <w:szCs w:val="24"/>
        </w:rPr>
        <w:t>escalate</w:t>
      </w:r>
      <w:r>
        <w:rPr>
          <w:rFonts w:ascii="Sylfaen" w:eastAsia="Sylfaen" w:hAnsi="Sylfaen" w:cs="Sylfaen"/>
          <w:sz w:val="24"/>
          <w:szCs w:val="24"/>
        </w:rPr>
        <w:t xml:space="preserve"> to aggression.</w:t>
      </w:r>
    </w:p>
    <w:p w:rsidR="00AD020C" w:rsidRDefault="00AD020C">
      <w:pPr>
        <w:spacing w:line="200" w:lineRule="exact"/>
        <w:rPr>
          <w:sz w:val="20"/>
          <w:szCs w:val="20"/>
        </w:rPr>
      </w:pPr>
    </w:p>
    <w:p w:rsidR="00AD020C" w:rsidRDefault="00AD020C">
      <w:pPr>
        <w:spacing w:line="383" w:lineRule="exact"/>
        <w:rPr>
          <w:sz w:val="20"/>
          <w:szCs w:val="20"/>
        </w:rPr>
      </w:pPr>
    </w:p>
    <w:p w:rsidR="00AD020C" w:rsidRDefault="00000000">
      <w:pPr>
        <w:spacing w:line="332" w:lineRule="auto"/>
        <w:jc w:val="both"/>
        <w:rPr>
          <w:sz w:val="20"/>
          <w:szCs w:val="20"/>
        </w:rPr>
      </w:pPr>
      <w:r>
        <w:rPr>
          <w:rFonts w:ascii="Sylfaen" w:eastAsia="Sylfaen" w:hAnsi="Sylfaen" w:cs="Sylfaen"/>
          <w:sz w:val="24"/>
          <w:szCs w:val="24"/>
        </w:rPr>
        <w:t xml:space="preserve">According to the </w:t>
      </w:r>
      <w:r>
        <w:rPr>
          <w:rFonts w:ascii="Sylfaen" w:eastAsia="Sylfaen" w:hAnsi="Sylfaen" w:cs="Sylfaen"/>
          <w:i/>
          <w:iCs/>
          <w:sz w:val="24"/>
          <w:szCs w:val="24"/>
        </w:rPr>
        <w:t>frustration-aggression</w:t>
      </w:r>
      <w:r>
        <w:rPr>
          <w:rFonts w:ascii="Sylfaen" w:eastAsia="Sylfaen" w:hAnsi="Sylfaen" w:cs="Sylfaen"/>
          <w:sz w:val="24"/>
          <w:szCs w:val="24"/>
        </w:rPr>
        <w:t xml:space="preserve"> literature (Dollard, 1939), whether or not frustration stimulates an aggressive (violent) response toward the perceived source of the "disconnect" depends upon the interplay of four factors:</w:t>
      </w:r>
    </w:p>
    <w:p w:rsidR="00AD020C" w:rsidRDefault="00AD020C">
      <w:pPr>
        <w:spacing w:line="200" w:lineRule="exact"/>
        <w:rPr>
          <w:sz w:val="20"/>
          <w:szCs w:val="20"/>
        </w:rPr>
      </w:pPr>
    </w:p>
    <w:p w:rsidR="00AD020C" w:rsidRDefault="00AD020C">
      <w:pPr>
        <w:spacing w:line="311" w:lineRule="exact"/>
        <w:rPr>
          <w:sz w:val="20"/>
          <w:szCs w:val="20"/>
        </w:rPr>
      </w:pPr>
    </w:p>
    <w:p w:rsidR="00AD020C" w:rsidRDefault="00000000">
      <w:pPr>
        <w:numPr>
          <w:ilvl w:val="0"/>
          <w:numId w:val="3"/>
        </w:numPr>
        <w:tabs>
          <w:tab w:val="left" w:pos="520"/>
        </w:tabs>
        <w:ind w:left="520" w:hanging="280"/>
        <w:rPr>
          <w:rFonts w:ascii="Sylfaen" w:eastAsia="Sylfaen" w:hAnsi="Sylfaen" w:cs="Sylfaen"/>
          <w:sz w:val="24"/>
          <w:szCs w:val="24"/>
        </w:rPr>
      </w:pPr>
      <w:r>
        <w:rPr>
          <w:rFonts w:ascii="Sylfaen" w:eastAsia="Sylfaen" w:hAnsi="Sylfaen" w:cs="Sylfaen"/>
          <w:sz w:val="24"/>
          <w:szCs w:val="24"/>
        </w:rPr>
        <w:t xml:space="preserve">the </w:t>
      </w:r>
      <w:r>
        <w:rPr>
          <w:rFonts w:ascii="Sylfaen" w:eastAsia="Sylfaen" w:hAnsi="Sylfaen" w:cs="Sylfaen"/>
          <w:i/>
          <w:iCs/>
          <w:sz w:val="24"/>
          <w:szCs w:val="24"/>
        </w:rPr>
        <w:t>Importance</w:t>
      </w:r>
      <w:r>
        <w:rPr>
          <w:rFonts w:ascii="Sylfaen" w:eastAsia="Sylfaen" w:hAnsi="Sylfaen" w:cs="Sylfaen"/>
          <w:sz w:val="24"/>
          <w:szCs w:val="24"/>
        </w:rPr>
        <w:t xml:space="preserve"> of the blocked (frustrated) goal.</w:t>
      </w:r>
    </w:p>
    <w:p w:rsidR="00AD020C" w:rsidRDefault="00AD020C">
      <w:pPr>
        <w:spacing w:line="156" w:lineRule="exact"/>
        <w:rPr>
          <w:rFonts w:ascii="Sylfaen" w:eastAsia="Sylfaen" w:hAnsi="Sylfaen" w:cs="Sylfaen"/>
          <w:sz w:val="24"/>
          <w:szCs w:val="24"/>
        </w:rPr>
      </w:pPr>
    </w:p>
    <w:p w:rsidR="00AD020C" w:rsidRDefault="00000000">
      <w:pPr>
        <w:numPr>
          <w:ilvl w:val="0"/>
          <w:numId w:val="3"/>
        </w:numPr>
        <w:tabs>
          <w:tab w:val="left" w:pos="520"/>
        </w:tabs>
        <w:ind w:left="520" w:hanging="280"/>
        <w:rPr>
          <w:rFonts w:ascii="Sylfaen" w:eastAsia="Sylfaen" w:hAnsi="Sylfaen" w:cs="Sylfaen"/>
          <w:sz w:val="24"/>
          <w:szCs w:val="24"/>
        </w:rPr>
      </w:pPr>
      <w:r>
        <w:rPr>
          <w:rFonts w:ascii="Sylfaen" w:eastAsia="Sylfaen" w:hAnsi="Sylfaen" w:cs="Sylfaen"/>
          <w:sz w:val="24"/>
          <w:szCs w:val="24"/>
        </w:rPr>
        <w:t xml:space="preserve">the </w:t>
      </w:r>
      <w:r>
        <w:rPr>
          <w:rFonts w:ascii="Sylfaen" w:eastAsia="Sylfaen" w:hAnsi="Sylfaen" w:cs="Sylfaen"/>
          <w:i/>
          <w:iCs/>
          <w:sz w:val="24"/>
          <w:szCs w:val="24"/>
        </w:rPr>
        <w:t>Severity</w:t>
      </w:r>
      <w:r>
        <w:rPr>
          <w:rFonts w:ascii="Sylfaen" w:eastAsia="Sylfaen" w:hAnsi="Sylfaen" w:cs="Sylfaen"/>
          <w:sz w:val="24"/>
          <w:szCs w:val="24"/>
        </w:rPr>
        <w:t xml:space="preserve"> (e.g., pain) of the experience of being blocked (frustrated).</w:t>
      </w:r>
    </w:p>
    <w:p w:rsidR="00AD020C" w:rsidRDefault="00AD020C">
      <w:pPr>
        <w:spacing w:line="159" w:lineRule="exact"/>
        <w:rPr>
          <w:rFonts w:ascii="Sylfaen" w:eastAsia="Sylfaen" w:hAnsi="Sylfaen" w:cs="Sylfaen"/>
          <w:sz w:val="24"/>
          <w:szCs w:val="24"/>
        </w:rPr>
      </w:pPr>
    </w:p>
    <w:p w:rsidR="00AD020C" w:rsidRDefault="00000000">
      <w:pPr>
        <w:numPr>
          <w:ilvl w:val="0"/>
          <w:numId w:val="3"/>
        </w:numPr>
        <w:tabs>
          <w:tab w:val="left" w:pos="520"/>
        </w:tabs>
        <w:ind w:left="520" w:hanging="280"/>
        <w:rPr>
          <w:rFonts w:ascii="Sylfaen" w:eastAsia="Sylfaen" w:hAnsi="Sylfaen" w:cs="Sylfaen"/>
          <w:sz w:val="24"/>
          <w:szCs w:val="24"/>
        </w:rPr>
      </w:pPr>
      <w:r>
        <w:rPr>
          <w:rFonts w:ascii="Sylfaen" w:eastAsia="Sylfaen" w:hAnsi="Sylfaen" w:cs="Sylfaen"/>
          <w:sz w:val="24"/>
          <w:szCs w:val="24"/>
        </w:rPr>
        <w:t xml:space="preserve">the </w:t>
      </w:r>
      <w:r>
        <w:rPr>
          <w:rFonts w:ascii="Sylfaen" w:eastAsia="Sylfaen" w:hAnsi="Sylfaen" w:cs="Sylfaen"/>
          <w:i/>
          <w:iCs/>
          <w:sz w:val="24"/>
          <w:szCs w:val="24"/>
        </w:rPr>
        <w:t>Frequency</w:t>
      </w:r>
      <w:r>
        <w:rPr>
          <w:rFonts w:ascii="Sylfaen" w:eastAsia="Sylfaen" w:hAnsi="Sylfaen" w:cs="Sylfaen"/>
          <w:sz w:val="24"/>
          <w:szCs w:val="24"/>
        </w:rPr>
        <w:t xml:space="preserve"> of the blocking (frustration) experience. And</w:t>
      </w:r>
    </w:p>
    <w:p w:rsidR="00AD020C" w:rsidRDefault="00AD020C">
      <w:pPr>
        <w:spacing w:line="229" w:lineRule="exact"/>
        <w:rPr>
          <w:rFonts w:ascii="Sylfaen" w:eastAsia="Sylfaen" w:hAnsi="Sylfaen" w:cs="Sylfaen"/>
          <w:sz w:val="24"/>
          <w:szCs w:val="24"/>
        </w:rPr>
      </w:pPr>
    </w:p>
    <w:p w:rsidR="00AD020C" w:rsidRDefault="00000000">
      <w:pPr>
        <w:numPr>
          <w:ilvl w:val="0"/>
          <w:numId w:val="3"/>
        </w:numPr>
        <w:tabs>
          <w:tab w:val="left" w:pos="512"/>
        </w:tabs>
        <w:spacing w:line="305" w:lineRule="auto"/>
        <w:ind w:firstLine="240"/>
        <w:rPr>
          <w:rFonts w:ascii="Sylfaen" w:eastAsia="Sylfaen" w:hAnsi="Sylfaen" w:cs="Sylfaen"/>
          <w:sz w:val="24"/>
          <w:szCs w:val="24"/>
        </w:rPr>
      </w:pPr>
      <w:r>
        <w:rPr>
          <w:rFonts w:ascii="Sylfaen" w:eastAsia="Sylfaen" w:hAnsi="Sylfaen" w:cs="Sylfaen"/>
          <w:sz w:val="24"/>
          <w:szCs w:val="24"/>
        </w:rPr>
        <w:t xml:space="preserve">the </w:t>
      </w:r>
      <w:r>
        <w:rPr>
          <w:rFonts w:ascii="Sylfaen" w:eastAsia="Sylfaen" w:hAnsi="Sylfaen" w:cs="Sylfaen"/>
          <w:i/>
          <w:iCs/>
          <w:sz w:val="24"/>
          <w:szCs w:val="24"/>
        </w:rPr>
        <w:t>anticipation of punishment</w:t>
      </w:r>
      <w:r>
        <w:rPr>
          <w:rFonts w:ascii="Sylfaen" w:eastAsia="Sylfaen" w:hAnsi="Sylfaen" w:cs="Sylfaen"/>
          <w:sz w:val="24"/>
          <w:szCs w:val="24"/>
        </w:rPr>
        <w:t xml:space="preserve"> if one were to respond "assertively" to the perceived source of the frustration (the "disconnect").</w:t>
      </w:r>
    </w:p>
    <w:p w:rsidR="00AD020C" w:rsidRDefault="00AD020C">
      <w:pPr>
        <w:spacing w:line="200" w:lineRule="exact"/>
        <w:rPr>
          <w:sz w:val="20"/>
          <w:szCs w:val="20"/>
        </w:rPr>
      </w:pPr>
    </w:p>
    <w:p w:rsidR="00AD020C" w:rsidRDefault="00AD020C">
      <w:pPr>
        <w:spacing w:line="200" w:lineRule="exact"/>
        <w:rPr>
          <w:sz w:val="20"/>
          <w:szCs w:val="20"/>
        </w:rPr>
      </w:pPr>
    </w:p>
    <w:p w:rsidR="00AD020C" w:rsidRDefault="00AD020C">
      <w:pPr>
        <w:spacing w:line="220" w:lineRule="exact"/>
        <w:rPr>
          <w:sz w:val="20"/>
          <w:szCs w:val="20"/>
        </w:rPr>
      </w:pPr>
    </w:p>
    <w:p w:rsidR="00AD020C" w:rsidRDefault="00000000">
      <w:pPr>
        <w:spacing w:line="332" w:lineRule="auto"/>
        <w:jc w:val="both"/>
        <w:rPr>
          <w:sz w:val="20"/>
          <w:szCs w:val="20"/>
        </w:rPr>
      </w:pPr>
      <w:r>
        <w:rPr>
          <w:rFonts w:ascii="Sylfaen" w:eastAsia="Sylfaen" w:hAnsi="Sylfaen" w:cs="Sylfaen"/>
          <w:sz w:val="24"/>
          <w:szCs w:val="24"/>
        </w:rPr>
        <w:t xml:space="preserve">Clearly, in the exceptionally dynamic Frustration-Aggression nexus, the </w:t>
      </w:r>
      <w:r>
        <w:rPr>
          <w:rFonts w:ascii="Sylfaen" w:eastAsia="Sylfaen" w:hAnsi="Sylfaen" w:cs="Sylfaen"/>
          <w:i/>
          <w:iCs/>
          <w:sz w:val="24"/>
          <w:szCs w:val="24"/>
        </w:rPr>
        <w:t>preferred state of affairs</w:t>
      </w:r>
      <w:r>
        <w:rPr>
          <w:rFonts w:ascii="Sylfaen" w:eastAsia="Sylfaen" w:hAnsi="Sylfaen" w:cs="Sylfaen"/>
          <w:sz w:val="24"/>
          <w:szCs w:val="24"/>
        </w:rPr>
        <w:t xml:space="preserve"> is not to be frustrated, to be able to achieve one's goals, vs. the </w:t>
      </w:r>
      <w:r>
        <w:rPr>
          <w:rFonts w:ascii="Sylfaen" w:eastAsia="Sylfaen" w:hAnsi="Sylfaen" w:cs="Sylfaen"/>
          <w:i/>
          <w:iCs/>
          <w:sz w:val="24"/>
          <w:szCs w:val="24"/>
        </w:rPr>
        <w:t>actual state of affairs</w:t>
      </w:r>
      <w:r>
        <w:rPr>
          <w:rFonts w:ascii="Sylfaen" w:eastAsia="Sylfaen" w:hAnsi="Sylfaen" w:cs="Sylfaen"/>
          <w:sz w:val="24"/>
          <w:szCs w:val="24"/>
        </w:rPr>
        <w:t>, which is being frustrated, prevented from achieving one's goals.</w:t>
      </w:r>
    </w:p>
    <w:p w:rsidR="00AD020C" w:rsidRDefault="00AD020C">
      <w:pPr>
        <w:spacing w:line="200" w:lineRule="exact"/>
        <w:rPr>
          <w:sz w:val="20"/>
          <w:szCs w:val="20"/>
        </w:rPr>
      </w:pPr>
    </w:p>
    <w:p w:rsidR="00AD020C" w:rsidRDefault="00AD020C">
      <w:pPr>
        <w:spacing w:line="385" w:lineRule="exact"/>
        <w:rPr>
          <w:sz w:val="20"/>
          <w:szCs w:val="20"/>
        </w:rPr>
      </w:pPr>
    </w:p>
    <w:p w:rsidR="00AD020C" w:rsidRDefault="00000000">
      <w:pPr>
        <w:spacing w:line="338" w:lineRule="auto"/>
        <w:jc w:val="both"/>
        <w:rPr>
          <w:sz w:val="20"/>
          <w:szCs w:val="20"/>
        </w:rPr>
      </w:pPr>
      <w:r>
        <w:rPr>
          <w:rFonts w:ascii="Sylfaen" w:eastAsia="Sylfaen" w:hAnsi="Sylfaen" w:cs="Sylfaen"/>
          <w:sz w:val="24"/>
          <w:szCs w:val="24"/>
        </w:rPr>
        <w:t xml:space="preserve">In terms of the implications of Frustration-Aggression for public policy, </w:t>
      </w:r>
      <w:r>
        <w:rPr>
          <w:rFonts w:ascii="Sylfaen" w:eastAsia="Sylfaen" w:hAnsi="Sylfaen" w:cs="Sylfaen"/>
          <w:i/>
          <w:iCs/>
          <w:sz w:val="24"/>
          <w:szCs w:val="24"/>
        </w:rPr>
        <w:t>conservatives</w:t>
      </w:r>
      <w:r>
        <w:rPr>
          <w:rFonts w:ascii="Sylfaen" w:eastAsia="Sylfaen" w:hAnsi="Sylfaen" w:cs="Sylfaen"/>
          <w:sz w:val="24"/>
          <w:szCs w:val="24"/>
        </w:rPr>
        <w:t xml:space="preserve"> tend to maximize the anticipation of punishment, while </w:t>
      </w:r>
      <w:r>
        <w:rPr>
          <w:rFonts w:ascii="Sylfaen" w:eastAsia="Sylfaen" w:hAnsi="Sylfaen" w:cs="Sylfaen"/>
          <w:i/>
          <w:iCs/>
          <w:sz w:val="24"/>
          <w:szCs w:val="24"/>
        </w:rPr>
        <w:t>liberals/progressives</w:t>
      </w:r>
      <w:r>
        <w:rPr>
          <w:rFonts w:ascii="Sylfaen" w:eastAsia="Sylfaen" w:hAnsi="Sylfaen" w:cs="Sylfaen"/>
          <w:sz w:val="24"/>
          <w:szCs w:val="24"/>
        </w:rPr>
        <w:t xml:space="preserve"> tend to manage if not attempt to eliminate the sources and experiences of frustration e.g., through promoting change, resulting in increased government or private-public partnership spending on education, health, job prospects, and the like. Conflict resolution philosopher John Burton refers to this as </w:t>
      </w:r>
      <w:r>
        <w:rPr>
          <w:rFonts w:ascii="Sylfaen" w:eastAsia="Sylfaen" w:hAnsi="Sylfaen" w:cs="Sylfaen"/>
          <w:i/>
          <w:iCs/>
          <w:sz w:val="24"/>
          <w:szCs w:val="24"/>
        </w:rPr>
        <w:t>provention</w:t>
      </w:r>
      <w:r>
        <w:rPr>
          <w:rFonts w:ascii="Sylfaen" w:eastAsia="Sylfaen" w:hAnsi="Sylfaen" w:cs="Sylfaen"/>
          <w:sz w:val="24"/>
          <w:szCs w:val="24"/>
        </w:rPr>
        <w:t>: eliminating the deep-rooted underlying sources of conflict (Burton, 1990).</w:t>
      </w:r>
    </w:p>
    <w:p w:rsidR="00AD020C" w:rsidRDefault="00AD020C">
      <w:pPr>
        <w:sectPr w:rsidR="00AD020C">
          <w:type w:val="continuous"/>
          <w:pgSz w:w="12240" w:h="15840"/>
          <w:pgMar w:top="766" w:right="1080" w:bottom="164" w:left="1080" w:header="0" w:footer="0" w:gutter="0"/>
          <w:cols w:space="720" w:equalWidth="0">
            <w:col w:w="10080"/>
          </w:cols>
        </w:sectPr>
      </w:pPr>
    </w:p>
    <w:p w:rsidR="00AD020C" w:rsidRDefault="00AD020C">
      <w:pPr>
        <w:spacing w:line="5" w:lineRule="exact"/>
        <w:rPr>
          <w:sz w:val="20"/>
          <w:szCs w:val="20"/>
        </w:rPr>
      </w:pPr>
    </w:p>
    <w:p w:rsidR="00AD020C" w:rsidRDefault="00000000">
      <w:pPr>
        <w:ind w:left="9820"/>
        <w:rPr>
          <w:sz w:val="20"/>
          <w:szCs w:val="20"/>
        </w:rPr>
      </w:pPr>
      <w:r>
        <w:rPr>
          <w:rFonts w:ascii="Cambria" w:eastAsia="Cambria" w:hAnsi="Cambria" w:cs="Cambria"/>
          <w:sz w:val="23"/>
          <w:szCs w:val="23"/>
        </w:rPr>
        <w:t>28</w:t>
      </w:r>
    </w:p>
    <w:p w:rsidR="00AD020C" w:rsidRDefault="00AD020C">
      <w:pPr>
        <w:sectPr w:rsidR="00AD020C">
          <w:type w:val="continuous"/>
          <w:pgSz w:w="12240" w:h="15840"/>
          <w:pgMar w:top="766" w:right="1080" w:bottom="164" w:left="1080" w:header="0" w:footer="0" w:gutter="0"/>
          <w:cols w:space="720" w:equalWidth="0">
            <w:col w:w="10080"/>
          </w:cols>
        </w:sectPr>
      </w:pPr>
    </w:p>
    <w:p w:rsidR="00AD020C" w:rsidRDefault="00000000">
      <w:pPr>
        <w:jc w:val="center"/>
        <w:rPr>
          <w:sz w:val="20"/>
          <w:szCs w:val="20"/>
        </w:rPr>
      </w:pPr>
      <w:bookmarkStart w:id="7" w:name="page8"/>
      <w:bookmarkEnd w:id="7"/>
      <w:r>
        <w:rPr>
          <w:rFonts w:ascii="Sylfaen" w:eastAsia="Sylfaen" w:hAnsi="Sylfaen" w:cs="Sylfaen"/>
          <w:i/>
          <w:iCs/>
          <w:sz w:val="23"/>
          <w:szCs w:val="23"/>
        </w:rPr>
        <w:lastRenderedPageBreak/>
        <w:t>Environment and Society, N2, December, 2020, pp. 22-34</w:t>
      </w:r>
    </w:p>
    <w:p w:rsidR="00AD020C" w:rsidRDefault="00000000">
      <w:pPr>
        <w:spacing w:line="20" w:lineRule="exact"/>
        <w:rPr>
          <w:sz w:val="20"/>
          <w:szCs w:val="20"/>
        </w:rPr>
      </w:pPr>
      <w:r>
        <w:rPr>
          <w:noProof/>
          <w:sz w:val="20"/>
          <w:szCs w:val="20"/>
        </w:rPr>
        <w:drawing>
          <wp:anchor distT="0" distB="0" distL="114300" distR="114300" simplePos="0" relativeHeight="251659264" behindDoc="1" locked="0" layoutInCell="0" allowOverlap="1">
            <wp:simplePos x="0" y="0"/>
            <wp:positionH relativeFrom="column">
              <wp:posOffset>-17780</wp:posOffset>
            </wp:positionH>
            <wp:positionV relativeFrom="paragraph">
              <wp:posOffset>17780</wp:posOffset>
            </wp:positionV>
            <wp:extent cx="6438900" cy="635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srcRect/>
                    <a:stretch>
                      <a:fillRect/>
                    </a:stretch>
                  </pic:blipFill>
                  <pic:spPr bwMode="auto">
                    <a:xfrm>
                      <a:off x="0" y="0"/>
                      <a:ext cx="6438900" cy="6350"/>
                    </a:xfrm>
                    <a:prstGeom prst="rect">
                      <a:avLst/>
                    </a:prstGeom>
                    <a:noFill/>
                  </pic:spPr>
                </pic:pic>
              </a:graphicData>
            </a:graphic>
          </wp:anchor>
        </w:drawing>
      </w:r>
    </w:p>
    <w:p w:rsidR="00AD020C" w:rsidRDefault="00AD020C">
      <w:pPr>
        <w:sectPr w:rsidR="00AD020C">
          <w:pgSz w:w="12240" w:h="15840"/>
          <w:pgMar w:top="766" w:right="1080" w:bottom="164" w:left="1080" w:header="0" w:footer="0" w:gutter="0"/>
          <w:cols w:space="720" w:equalWidth="0">
            <w:col w:w="10080"/>
          </w:cols>
        </w:sectPr>
      </w:pPr>
    </w:p>
    <w:p w:rsidR="00AD020C" w:rsidRDefault="00AD020C">
      <w:pPr>
        <w:spacing w:line="200" w:lineRule="exact"/>
        <w:rPr>
          <w:sz w:val="20"/>
          <w:szCs w:val="20"/>
        </w:rPr>
      </w:pPr>
    </w:p>
    <w:p w:rsidR="00AD020C" w:rsidRDefault="00AD020C">
      <w:pPr>
        <w:spacing w:line="200" w:lineRule="exact"/>
        <w:rPr>
          <w:sz w:val="20"/>
          <w:szCs w:val="20"/>
        </w:rPr>
      </w:pPr>
    </w:p>
    <w:p w:rsidR="00AD020C" w:rsidRDefault="00AD020C">
      <w:pPr>
        <w:spacing w:line="200" w:lineRule="exact"/>
        <w:rPr>
          <w:sz w:val="20"/>
          <w:szCs w:val="20"/>
        </w:rPr>
      </w:pPr>
    </w:p>
    <w:p w:rsidR="00AD020C" w:rsidRDefault="00AD020C">
      <w:pPr>
        <w:spacing w:line="200" w:lineRule="exact"/>
        <w:rPr>
          <w:sz w:val="20"/>
          <w:szCs w:val="20"/>
        </w:rPr>
      </w:pPr>
    </w:p>
    <w:p w:rsidR="00AD020C" w:rsidRDefault="00AD020C">
      <w:pPr>
        <w:spacing w:line="340" w:lineRule="exact"/>
        <w:rPr>
          <w:sz w:val="20"/>
          <w:szCs w:val="20"/>
        </w:rPr>
      </w:pPr>
    </w:p>
    <w:p w:rsidR="00AD020C" w:rsidRDefault="00000000">
      <w:pPr>
        <w:spacing w:line="349" w:lineRule="auto"/>
        <w:jc w:val="both"/>
        <w:rPr>
          <w:sz w:val="20"/>
          <w:szCs w:val="20"/>
        </w:rPr>
      </w:pPr>
      <w:r>
        <w:rPr>
          <w:rFonts w:ascii="Sylfaen" w:eastAsia="Sylfaen" w:hAnsi="Sylfaen" w:cs="Sylfaen"/>
          <w:sz w:val="24"/>
          <w:szCs w:val="24"/>
        </w:rPr>
        <w:t xml:space="preserve">At a fundamental level, when frustration occurs, we can speak about </w:t>
      </w:r>
      <w:r>
        <w:rPr>
          <w:rFonts w:ascii="Sylfaen" w:eastAsia="Sylfaen" w:hAnsi="Sylfaen" w:cs="Sylfaen"/>
          <w:i/>
          <w:iCs/>
          <w:sz w:val="24"/>
          <w:szCs w:val="24"/>
        </w:rPr>
        <w:t>basic human needs (BHNs</w:t>
      </w:r>
      <w:r>
        <w:rPr>
          <w:rFonts w:ascii="Sylfaen" w:eastAsia="Sylfaen" w:hAnsi="Sylfaen" w:cs="Sylfaen"/>
          <w:sz w:val="24"/>
          <w:szCs w:val="24"/>
        </w:rPr>
        <w:t xml:space="preserve">) that ontologically apply to all humans, regardless of different cultural and religious settings, although those differences may impact the perception of fulfillment or frustration of those needs, for example, needs for </w:t>
      </w:r>
      <w:r>
        <w:rPr>
          <w:rFonts w:ascii="Sylfaen" w:eastAsia="Sylfaen" w:hAnsi="Sylfaen" w:cs="Sylfaen"/>
          <w:i/>
          <w:iCs/>
          <w:sz w:val="24"/>
          <w:szCs w:val="24"/>
        </w:rPr>
        <w:t>identity, recognition (esteem), security.</w:t>
      </w:r>
      <w:r>
        <w:rPr>
          <w:rFonts w:ascii="Sylfaen" w:eastAsia="Sylfaen" w:hAnsi="Sylfaen" w:cs="Sylfaen"/>
          <w:sz w:val="24"/>
          <w:szCs w:val="24"/>
        </w:rPr>
        <w:t xml:space="preserve"> For John Burton, the primary BHNs, when such needs are denied over time, there is bound to be a violent response to the perceived source.</w:t>
      </w:r>
    </w:p>
    <w:p w:rsidR="00AD020C" w:rsidRDefault="00AD020C">
      <w:pPr>
        <w:spacing w:line="200" w:lineRule="exact"/>
        <w:rPr>
          <w:sz w:val="20"/>
          <w:szCs w:val="20"/>
        </w:rPr>
      </w:pPr>
    </w:p>
    <w:p w:rsidR="00AD020C" w:rsidRDefault="00AD020C">
      <w:pPr>
        <w:spacing w:line="362" w:lineRule="exact"/>
        <w:rPr>
          <w:sz w:val="20"/>
          <w:szCs w:val="20"/>
        </w:rPr>
      </w:pPr>
    </w:p>
    <w:p w:rsidR="00AD020C" w:rsidRDefault="00000000">
      <w:pPr>
        <w:spacing w:line="346" w:lineRule="auto"/>
        <w:jc w:val="both"/>
        <w:rPr>
          <w:sz w:val="20"/>
          <w:szCs w:val="20"/>
        </w:rPr>
      </w:pPr>
      <w:r>
        <w:rPr>
          <w:rFonts w:ascii="Sylfaen" w:eastAsia="Sylfaen" w:hAnsi="Sylfaen" w:cs="Sylfaen"/>
          <w:sz w:val="24"/>
          <w:szCs w:val="24"/>
        </w:rPr>
        <w:t>Considering the above stated theoretical concepts, this paper in its further proceedings is going to examine thoroughly how they apply to the education system in Georgia from different angles. This process would help to explain: How these theories apply to the beneficiaries of the system and how these theories apply to benefactors of the system and also potentially draw recommendations for a viable shift to a more inclusive, peaceful and beneficial state of affairs in the education system.</w:t>
      </w:r>
    </w:p>
    <w:p w:rsidR="00AD020C" w:rsidRDefault="00AD020C">
      <w:pPr>
        <w:spacing w:line="200" w:lineRule="exact"/>
        <w:rPr>
          <w:sz w:val="20"/>
          <w:szCs w:val="20"/>
        </w:rPr>
      </w:pPr>
    </w:p>
    <w:p w:rsidR="00AD020C" w:rsidRDefault="00AD020C">
      <w:pPr>
        <w:spacing w:line="200" w:lineRule="exact"/>
        <w:rPr>
          <w:sz w:val="20"/>
          <w:szCs w:val="20"/>
        </w:rPr>
      </w:pPr>
    </w:p>
    <w:p w:rsidR="00AD020C" w:rsidRDefault="00AD020C">
      <w:pPr>
        <w:spacing w:line="213" w:lineRule="exact"/>
        <w:rPr>
          <w:sz w:val="20"/>
          <w:szCs w:val="20"/>
        </w:rPr>
      </w:pPr>
    </w:p>
    <w:p w:rsidR="00AD020C" w:rsidRDefault="00000000">
      <w:pPr>
        <w:rPr>
          <w:sz w:val="20"/>
          <w:szCs w:val="20"/>
        </w:rPr>
      </w:pPr>
      <w:r>
        <w:rPr>
          <w:rFonts w:ascii="Sylfaen" w:eastAsia="Sylfaen" w:hAnsi="Sylfaen" w:cs="Sylfaen"/>
          <w:b/>
          <w:bCs/>
          <w:sz w:val="24"/>
          <w:szCs w:val="24"/>
          <w:u w:val="single"/>
        </w:rPr>
        <w:t>Review of existing literature</w:t>
      </w:r>
    </w:p>
    <w:p w:rsidR="00AD020C" w:rsidRDefault="00AD020C">
      <w:pPr>
        <w:spacing w:line="350" w:lineRule="exact"/>
        <w:rPr>
          <w:sz w:val="20"/>
          <w:szCs w:val="20"/>
        </w:rPr>
      </w:pPr>
    </w:p>
    <w:p w:rsidR="00AD020C" w:rsidRDefault="00000000">
      <w:pPr>
        <w:spacing w:line="341" w:lineRule="auto"/>
        <w:jc w:val="both"/>
        <w:rPr>
          <w:sz w:val="20"/>
          <w:szCs w:val="20"/>
        </w:rPr>
      </w:pPr>
      <w:r>
        <w:rPr>
          <w:rFonts w:ascii="Sylfaen" w:eastAsia="Sylfaen" w:hAnsi="Sylfaen" w:cs="Sylfaen"/>
          <w:sz w:val="24"/>
          <w:szCs w:val="24"/>
        </w:rPr>
        <w:t>This paper intends to further offer a literature review on the current state of affairs with peace education as observed by relevant publications and analyze how the above stated research questions are being answered in literature. The literature reviewed for the purpose of this paper mainly includes academic books and articles, and official declarations of international organizations.</w:t>
      </w:r>
    </w:p>
    <w:p w:rsidR="00AD020C" w:rsidRDefault="00AD020C">
      <w:pPr>
        <w:spacing w:line="220" w:lineRule="exact"/>
        <w:rPr>
          <w:sz w:val="20"/>
          <w:szCs w:val="20"/>
        </w:rPr>
      </w:pPr>
    </w:p>
    <w:p w:rsidR="00AD020C" w:rsidRDefault="00000000">
      <w:pPr>
        <w:spacing w:line="351" w:lineRule="auto"/>
        <w:jc w:val="both"/>
        <w:rPr>
          <w:sz w:val="20"/>
          <w:szCs w:val="20"/>
        </w:rPr>
      </w:pPr>
      <w:r>
        <w:rPr>
          <w:rFonts w:ascii="Sylfaen" w:eastAsia="Sylfaen" w:hAnsi="Sylfaen" w:cs="Sylfaen"/>
          <w:sz w:val="24"/>
          <w:szCs w:val="24"/>
        </w:rPr>
        <w:t>According to a leading voice in critical pedagogy, Freire, education is designed to serve political agendas (Freire, 1985 ). In other words, as long as the state controls and mandates education, it cannot be seen as a neutral disseminator of knowledge but a tool to promote particular political agendas, affect the minds of new generations. Predominantly, in countries that are multicultural and relationships extremely delicate (such as Georgia), it is important for the education systems to promote inclusion and multi-culturalism, conscious of the role that education and educators can play in either promoting peace and stability or divisions and war.</w:t>
      </w:r>
    </w:p>
    <w:p w:rsidR="00AD020C" w:rsidRDefault="00AD020C">
      <w:pPr>
        <w:sectPr w:rsidR="00AD020C">
          <w:type w:val="continuous"/>
          <w:pgSz w:w="12240" w:h="15840"/>
          <w:pgMar w:top="766" w:right="1080" w:bottom="164" w:left="1080" w:header="0" w:footer="0" w:gutter="0"/>
          <w:cols w:space="720" w:equalWidth="0">
            <w:col w:w="10080"/>
          </w:cols>
        </w:sectPr>
      </w:pPr>
    </w:p>
    <w:p w:rsidR="00AD020C" w:rsidRDefault="00AD020C">
      <w:pPr>
        <w:spacing w:line="200" w:lineRule="exact"/>
        <w:rPr>
          <w:sz w:val="20"/>
          <w:szCs w:val="20"/>
        </w:rPr>
      </w:pPr>
    </w:p>
    <w:p w:rsidR="00AD020C" w:rsidRDefault="00AD020C">
      <w:pPr>
        <w:spacing w:line="304" w:lineRule="exact"/>
        <w:rPr>
          <w:sz w:val="20"/>
          <w:szCs w:val="20"/>
        </w:rPr>
      </w:pPr>
    </w:p>
    <w:p w:rsidR="00AD020C" w:rsidRDefault="00000000">
      <w:pPr>
        <w:ind w:left="9820"/>
        <w:rPr>
          <w:sz w:val="20"/>
          <w:szCs w:val="20"/>
        </w:rPr>
      </w:pPr>
      <w:r>
        <w:rPr>
          <w:rFonts w:ascii="Cambria" w:eastAsia="Cambria" w:hAnsi="Cambria" w:cs="Cambria"/>
          <w:sz w:val="23"/>
          <w:szCs w:val="23"/>
        </w:rPr>
        <w:t>29</w:t>
      </w:r>
    </w:p>
    <w:p w:rsidR="00AD020C" w:rsidRDefault="00AD020C">
      <w:pPr>
        <w:sectPr w:rsidR="00AD020C">
          <w:type w:val="continuous"/>
          <w:pgSz w:w="12240" w:h="15840"/>
          <w:pgMar w:top="766" w:right="1080" w:bottom="164" w:left="1080" w:header="0" w:footer="0" w:gutter="0"/>
          <w:cols w:space="720" w:equalWidth="0">
            <w:col w:w="10080"/>
          </w:cols>
        </w:sectPr>
      </w:pPr>
    </w:p>
    <w:p w:rsidR="00AD020C" w:rsidRDefault="00000000">
      <w:pPr>
        <w:jc w:val="center"/>
        <w:rPr>
          <w:sz w:val="20"/>
          <w:szCs w:val="20"/>
        </w:rPr>
      </w:pPr>
      <w:bookmarkStart w:id="8" w:name="page9"/>
      <w:bookmarkEnd w:id="8"/>
      <w:r>
        <w:rPr>
          <w:rFonts w:ascii="Sylfaen" w:eastAsia="Sylfaen" w:hAnsi="Sylfaen" w:cs="Sylfaen"/>
          <w:i/>
          <w:iCs/>
          <w:sz w:val="23"/>
          <w:szCs w:val="23"/>
        </w:rPr>
        <w:lastRenderedPageBreak/>
        <w:t>Environment and Society, N2, December, 2020, pp. 22-34</w:t>
      </w:r>
    </w:p>
    <w:p w:rsidR="00AD020C" w:rsidRDefault="00000000">
      <w:pPr>
        <w:spacing w:line="20" w:lineRule="exact"/>
        <w:rPr>
          <w:sz w:val="20"/>
          <w:szCs w:val="20"/>
        </w:rPr>
      </w:pPr>
      <w:r>
        <w:rPr>
          <w:noProof/>
          <w:sz w:val="20"/>
          <w:szCs w:val="20"/>
        </w:rPr>
        <w:drawing>
          <wp:anchor distT="0" distB="0" distL="114300" distR="114300" simplePos="0" relativeHeight="251660288" behindDoc="1" locked="0" layoutInCell="0" allowOverlap="1">
            <wp:simplePos x="0" y="0"/>
            <wp:positionH relativeFrom="column">
              <wp:posOffset>-17780</wp:posOffset>
            </wp:positionH>
            <wp:positionV relativeFrom="paragraph">
              <wp:posOffset>17780</wp:posOffset>
            </wp:positionV>
            <wp:extent cx="6438900" cy="63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srcRect/>
                    <a:stretch>
                      <a:fillRect/>
                    </a:stretch>
                  </pic:blipFill>
                  <pic:spPr bwMode="auto">
                    <a:xfrm>
                      <a:off x="0" y="0"/>
                      <a:ext cx="6438900" cy="6350"/>
                    </a:xfrm>
                    <a:prstGeom prst="rect">
                      <a:avLst/>
                    </a:prstGeom>
                    <a:noFill/>
                  </pic:spPr>
                </pic:pic>
              </a:graphicData>
            </a:graphic>
          </wp:anchor>
        </w:drawing>
      </w:r>
    </w:p>
    <w:p w:rsidR="00AD020C" w:rsidRDefault="00AD020C">
      <w:pPr>
        <w:sectPr w:rsidR="00AD020C">
          <w:pgSz w:w="12240" w:h="15840"/>
          <w:pgMar w:top="766" w:right="1080" w:bottom="164" w:left="1080" w:header="0" w:footer="0" w:gutter="0"/>
          <w:cols w:space="720" w:equalWidth="0">
            <w:col w:w="10080"/>
          </w:cols>
        </w:sectPr>
      </w:pPr>
    </w:p>
    <w:p w:rsidR="00AD020C" w:rsidRDefault="00AD020C">
      <w:pPr>
        <w:spacing w:line="200" w:lineRule="exact"/>
        <w:rPr>
          <w:sz w:val="20"/>
          <w:szCs w:val="20"/>
        </w:rPr>
      </w:pPr>
    </w:p>
    <w:p w:rsidR="00AD020C" w:rsidRDefault="00AD020C">
      <w:pPr>
        <w:spacing w:line="200" w:lineRule="exact"/>
        <w:rPr>
          <w:sz w:val="20"/>
          <w:szCs w:val="20"/>
        </w:rPr>
      </w:pPr>
    </w:p>
    <w:p w:rsidR="00AD020C" w:rsidRDefault="00AD020C">
      <w:pPr>
        <w:spacing w:line="265" w:lineRule="exact"/>
        <w:rPr>
          <w:sz w:val="20"/>
          <w:szCs w:val="20"/>
        </w:rPr>
      </w:pPr>
    </w:p>
    <w:p w:rsidR="00AD020C" w:rsidRDefault="00000000">
      <w:pPr>
        <w:spacing w:line="341" w:lineRule="auto"/>
        <w:jc w:val="both"/>
        <w:rPr>
          <w:sz w:val="20"/>
          <w:szCs w:val="20"/>
        </w:rPr>
      </w:pPr>
      <w:r>
        <w:rPr>
          <w:rFonts w:ascii="Sylfaen" w:eastAsia="Sylfaen" w:hAnsi="Sylfaen" w:cs="Sylfaen"/>
          <w:color w:val="1D2228"/>
          <w:sz w:val="24"/>
          <w:szCs w:val="24"/>
        </w:rPr>
        <w:t>However, it is important to distinguish between "education for peace" which is the development of skills (personal conflict management, avoidance of conflict escalation, mediation, active listening, gender and difference awareness etc.), and "peace education" which covers a much broader scope including human rights, democracy, weapons control etc.</w:t>
      </w:r>
    </w:p>
    <w:p w:rsidR="00AD020C" w:rsidRDefault="00AD020C">
      <w:pPr>
        <w:spacing w:line="100" w:lineRule="exact"/>
        <w:rPr>
          <w:sz w:val="20"/>
          <w:szCs w:val="20"/>
        </w:rPr>
      </w:pPr>
    </w:p>
    <w:p w:rsidR="00AD020C" w:rsidRDefault="00000000">
      <w:pPr>
        <w:spacing w:line="305" w:lineRule="auto"/>
        <w:jc w:val="both"/>
        <w:rPr>
          <w:sz w:val="20"/>
          <w:szCs w:val="20"/>
        </w:rPr>
      </w:pPr>
      <w:r>
        <w:rPr>
          <w:rFonts w:ascii="Sylfaen" w:eastAsia="Sylfaen" w:hAnsi="Sylfaen" w:cs="Sylfaen"/>
          <w:sz w:val="24"/>
          <w:szCs w:val="24"/>
        </w:rPr>
        <w:t>This research intends to deeply cover the aspects that lay under the realm of “peace education”, although it will also offer a segment on the variety of tools that help promote “education for peace”.</w:t>
      </w:r>
    </w:p>
    <w:p w:rsidR="00AD020C" w:rsidRDefault="00AD020C">
      <w:pPr>
        <w:spacing w:line="267" w:lineRule="exact"/>
        <w:rPr>
          <w:sz w:val="20"/>
          <w:szCs w:val="20"/>
        </w:rPr>
      </w:pPr>
    </w:p>
    <w:p w:rsidR="00AD020C" w:rsidRDefault="00000000">
      <w:pPr>
        <w:spacing w:line="348" w:lineRule="auto"/>
        <w:rPr>
          <w:sz w:val="20"/>
          <w:szCs w:val="20"/>
        </w:rPr>
      </w:pPr>
      <w:r>
        <w:rPr>
          <w:rFonts w:ascii="Sylfaen" w:eastAsia="Sylfaen" w:hAnsi="Sylfaen" w:cs="Sylfaen"/>
          <w:sz w:val="24"/>
          <w:szCs w:val="24"/>
        </w:rPr>
        <w:t>International organizations are playing an important role in setting guidelines and recommendations for national governments. It is of significance to note that the main aim and the founding principles of international organizations such as the United Nations is ensuring peace and co-operation, and many of the UN instruments have particularly addressed the importance of peace education within their declarations, which strengthens the idea of promoting peace education as an integral part of the education systems across nations.</w:t>
      </w:r>
    </w:p>
    <w:p w:rsidR="00AD020C" w:rsidRDefault="00AD020C">
      <w:pPr>
        <w:spacing w:line="200" w:lineRule="exact"/>
        <w:rPr>
          <w:sz w:val="20"/>
          <w:szCs w:val="20"/>
        </w:rPr>
      </w:pPr>
    </w:p>
    <w:p w:rsidR="00AD020C" w:rsidRDefault="00AD020C">
      <w:pPr>
        <w:spacing w:line="368" w:lineRule="exact"/>
        <w:rPr>
          <w:sz w:val="20"/>
          <w:szCs w:val="20"/>
        </w:rPr>
      </w:pPr>
    </w:p>
    <w:p w:rsidR="00AD020C" w:rsidRDefault="00000000">
      <w:pPr>
        <w:spacing w:line="352" w:lineRule="auto"/>
        <w:jc w:val="both"/>
        <w:rPr>
          <w:sz w:val="20"/>
          <w:szCs w:val="20"/>
        </w:rPr>
      </w:pPr>
      <w:r>
        <w:rPr>
          <w:rFonts w:ascii="Sylfaen" w:eastAsia="Sylfaen" w:hAnsi="Sylfaen" w:cs="Sylfaen"/>
          <w:sz w:val="24"/>
          <w:szCs w:val="24"/>
        </w:rPr>
        <w:t>In 2005 UNESCO made a pledge to improve textbooks, teacher trainings and other necessary activities “with a view to educating caring and responsible citizens open to other cultures, able to appreciate the value of freedom, respectful of human dignity and differences, and able to prevent conflicts or resolve them by non-violent means” (UNESCO, 1995). According to Article 1 of the UNESCO document, tolerance is an essential requirement for peace and is the virtue which makes peace possible and which contributes to the replacement of a culture of violence by a culture of peace. Education for tolerance should encourage development of independent judgment, critical thinking and ethical reasoning skills. (Page, 2008)</w:t>
      </w:r>
    </w:p>
    <w:p w:rsidR="00AD020C" w:rsidRDefault="00AD020C">
      <w:pPr>
        <w:spacing w:line="207" w:lineRule="exact"/>
        <w:rPr>
          <w:sz w:val="20"/>
          <w:szCs w:val="20"/>
        </w:rPr>
      </w:pPr>
    </w:p>
    <w:p w:rsidR="00AD020C" w:rsidRDefault="00000000">
      <w:pPr>
        <w:spacing w:line="341" w:lineRule="auto"/>
        <w:jc w:val="both"/>
        <w:rPr>
          <w:sz w:val="20"/>
          <w:szCs w:val="20"/>
        </w:rPr>
      </w:pPr>
      <w:r>
        <w:rPr>
          <w:rFonts w:ascii="Sylfaen" w:eastAsia="Sylfaen" w:hAnsi="Sylfaen" w:cs="Sylfaen"/>
          <w:sz w:val="24"/>
          <w:szCs w:val="24"/>
        </w:rPr>
        <w:t>The constitutional mandate of UNESCO notes that war begins in the minds of individuals, so too should the defenses against war be constructed in the minds of individuals (Page, 2008), implying that education systems should not be used as a weapon to form negative images of the “other”, instead peace education principles should be implemented in national educational curriculums.</w:t>
      </w:r>
    </w:p>
    <w:p w:rsidR="00AD020C" w:rsidRDefault="00AD020C">
      <w:pPr>
        <w:spacing w:line="220" w:lineRule="exact"/>
        <w:rPr>
          <w:sz w:val="20"/>
          <w:szCs w:val="20"/>
        </w:rPr>
      </w:pPr>
    </w:p>
    <w:p w:rsidR="00AD020C" w:rsidRDefault="00000000">
      <w:pPr>
        <w:spacing w:line="303" w:lineRule="auto"/>
        <w:jc w:val="both"/>
        <w:rPr>
          <w:sz w:val="20"/>
          <w:szCs w:val="20"/>
        </w:rPr>
      </w:pPr>
      <w:r>
        <w:rPr>
          <w:rFonts w:ascii="Sylfaen" w:eastAsia="Sylfaen" w:hAnsi="Sylfaen" w:cs="Sylfaen"/>
          <w:sz w:val="24"/>
          <w:szCs w:val="24"/>
        </w:rPr>
        <w:t>Article 26 of the Universal Declaration of Human Rights (1948) declares that “Education shall be directed … to the strengthening of respect for human rights and fundamental freedoms. It shall</w:t>
      </w:r>
    </w:p>
    <w:p w:rsidR="00AD020C" w:rsidRDefault="00AD020C">
      <w:pPr>
        <w:sectPr w:rsidR="00AD020C">
          <w:type w:val="continuous"/>
          <w:pgSz w:w="12240" w:h="15840"/>
          <w:pgMar w:top="766" w:right="1080" w:bottom="164" w:left="1080" w:header="0" w:footer="0" w:gutter="0"/>
          <w:cols w:space="720" w:equalWidth="0">
            <w:col w:w="10080"/>
          </w:cols>
        </w:sectPr>
      </w:pPr>
    </w:p>
    <w:p w:rsidR="00AD020C" w:rsidRDefault="00AD020C">
      <w:pPr>
        <w:spacing w:line="95" w:lineRule="exact"/>
        <w:rPr>
          <w:sz w:val="20"/>
          <w:szCs w:val="20"/>
        </w:rPr>
      </w:pPr>
    </w:p>
    <w:p w:rsidR="00AD020C" w:rsidRDefault="00000000">
      <w:pPr>
        <w:ind w:left="9820"/>
        <w:rPr>
          <w:sz w:val="20"/>
          <w:szCs w:val="20"/>
        </w:rPr>
      </w:pPr>
      <w:r>
        <w:rPr>
          <w:rFonts w:ascii="Cambria" w:eastAsia="Cambria" w:hAnsi="Cambria" w:cs="Cambria"/>
          <w:sz w:val="23"/>
          <w:szCs w:val="23"/>
        </w:rPr>
        <w:t>30</w:t>
      </w:r>
    </w:p>
    <w:p w:rsidR="00AD020C" w:rsidRDefault="00AD020C">
      <w:pPr>
        <w:sectPr w:rsidR="00AD020C">
          <w:type w:val="continuous"/>
          <w:pgSz w:w="12240" w:h="15840"/>
          <w:pgMar w:top="766" w:right="1080" w:bottom="164" w:left="1080" w:header="0" w:footer="0" w:gutter="0"/>
          <w:cols w:space="720" w:equalWidth="0">
            <w:col w:w="10080"/>
          </w:cols>
        </w:sectPr>
      </w:pPr>
    </w:p>
    <w:p w:rsidR="00AD020C" w:rsidRDefault="00000000">
      <w:pPr>
        <w:jc w:val="center"/>
        <w:rPr>
          <w:sz w:val="20"/>
          <w:szCs w:val="20"/>
        </w:rPr>
      </w:pPr>
      <w:bookmarkStart w:id="9" w:name="page10"/>
      <w:bookmarkEnd w:id="9"/>
      <w:r>
        <w:rPr>
          <w:rFonts w:ascii="Sylfaen" w:eastAsia="Sylfaen" w:hAnsi="Sylfaen" w:cs="Sylfaen"/>
          <w:i/>
          <w:iCs/>
          <w:sz w:val="23"/>
          <w:szCs w:val="23"/>
        </w:rPr>
        <w:lastRenderedPageBreak/>
        <w:t>Environment and Society, N2, December, 2020, pp. 22-34</w:t>
      </w:r>
    </w:p>
    <w:p w:rsidR="00AD020C" w:rsidRDefault="00000000">
      <w:pPr>
        <w:spacing w:line="20" w:lineRule="exact"/>
        <w:rPr>
          <w:sz w:val="20"/>
          <w:szCs w:val="20"/>
        </w:rPr>
      </w:pPr>
      <w:r>
        <w:rPr>
          <w:noProof/>
          <w:sz w:val="20"/>
          <w:szCs w:val="20"/>
        </w:rPr>
        <w:drawing>
          <wp:anchor distT="0" distB="0" distL="114300" distR="114300" simplePos="0" relativeHeight="251661312" behindDoc="1" locked="0" layoutInCell="0" allowOverlap="1">
            <wp:simplePos x="0" y="0"/>
            <wp:positionH relativeFrom="column">
              <wp:posOffset>-17780</wp:posOffset>
            </wp:positionH>
            <wp:positionV relativeFrom="paragraph">
              <wp:posOffset>17780</wp:posOffset>
            </wp:positionV>
            <wp:extent cx="6438900" cy="635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srcRect/>
                    <a:stretch>
                      <a:fillRect/>
                    </a:stretch>
                  </pic:blipFill>
                  <pic:spPr bwMode="auto">
                    <a:xfrm>
                      <a:off x="0" y="0"/>
                      <a:ext cx="6438900" cy="6350"/>
                    </a:xfrm>
                    <a:prstGeom prst="rect">
                      <a:avLst/>
                    </a:prstGeom>
                    <a:noFill/>
                  </pic:spPr>
                </pic:pic>
              </a:graphicData>
            </a:graphic>
          </wp:anchor>
        </w:drawing>
      </w:r>
    </w:p>
    <w:p w:rsidR="00AD020C" w:rsidRDefault="00AD020C">
      <w:pPr>
        <w:sectPr w:rsidR="00AD020C">
          <w:pgSz w:w="12240" w:h="15840"/>
          <w:pgMar w:top="766" w:right="1080" w:bottom="164" w:left="1080" w:header="0" w:footer="0" w:gutter="0"/>
          <w:cols w:space="720" w:equalWidth="0">
            <w:col w:w="10080"/>
          </w:cols>
        </w:sectPr>
      </w:pPr>
    </w:p>
    <w:p w:rsidR="00AD020C" w:rsidRDefault="00AD020C">
      <w:pPr>
        <w:spacing w:line="200" w:lineRule="exact"/>
        <w:rPr>
          <w:sz w:val="20"/>
          <w:szCs w:val="20"/>
        </w:rPr>
      </w:pPr>
    </w:p>
    <w:p w:rsidR="00AD020C" w:rsidRDefault="00AD020C">
      <w:pPr>
        <w:spacing w:line="200" w:lineRule="exact"/>
        <w:rPr>
          <w:sz w:val="20"/>
          <w:szCs w:val="20"/>
        </w:rPr>
      </w:pPr>
    </w:p>
    <w:p w:rsidR="00AD020C" w:rsidRDefault="00AD020C">
      <w:pPr>
        <w:spacing w:line="265" w:lineRule="exact"/>
        <w:rPr>
          <w:sz w:val="20"/>
          <w:szCs w:val="20"/>
        </w:rPr>
      </w:pPr>
    </w:p>
    <w:p w:rsidR="00AD020C" w:rsidRDefault="00000000">
      <w:pPr>
        <w:spacing w:line="349" w:lineRule="auto"/>
        <w:jc w:val="both"/>
        <w:rPr>
          <w:sz w:val="20"/>
          <w:szCs w:val="20"/>
        </w:rPr>
      </w:pPr>
      <w:r>
        <w:rPr>
          <w:rFonts w:ascii="Sylfaen" w:eastAsia="Sylfaen" w:hAnsi="Sylfaen" w:cs="Sylfaen"/>
          <w:sz w:val="24"/>
          <w:szCs w:val="24"/>
        </w:rPr>
        <w:t>promote understanding, tolerance and friendship … and shall further the activities of the United Nations for the maintenance of peace” (Page, 2008). According to the UN resolution 39/11, Right of Peoples to Peace, (UN, 1984) peace is seen as a human right, therefore “If peace is considered as a right, then people should have the right to be educated and informed about that right, as any particular right is rendered meaningless if individuals and societies are not informed that they have it” (Page, 2008).</w:t>
      </w:r>
    </w:p>
    <w:p w:rsidR="00AD020C" w:rsidRDefault="00AD020C">
      <w:pPr>
        <w:spacing w:line="209" w:lineRule="exact"/>
        <w:rPr>
          <w:sz w:val="20"/>
          <w:szCs w:val="20"/>
        </w:rPr>
      </w:pPr>
    </w:p>
    <w:p w:rsidR="00AD020C" w:rsidRDefault="00000000">
      <w:pPr>
        <w:spacing w:line="341" w:lineRule="auto"/>
        <w:ind w:right="220"/>
        <w:rPr>
          <w:sz w:val="20"/>
          <w:szCs w:val="20"/>
        </w:rPr>
      </w:pPr>
      <w:r>
        <w:rPr>
          <w:rFonts w:ascii="Sylfaen" w:eastAsia="Sylfaen" w:hAnsi="Sylfaen" w:cs="Sylfaen"/>
          <w:sz w:val="24"/>
          <w:szCs w:val="24"/>
        </w:rPr>
        <w:t xml:space="preserve">The </w:t>
      </w:r>
      <w:r>
        <w:rPr>
          <w:rFonts w:ascii="Sylfaen" w:eastAsia="Sylfaen" w:hAnsi="Sylfaen" w:cs="Sylfaen"/>
          <w:i/>
          <w:iCs/>
          <w:sz w:val="24"/>
          <w:szCs w:val="24"/>
        </w:rPr>
        <w:t>Vienna Declaration and Programme of Action</w:t>
      </w:r>
      <w:r>
        <w:rPr>
          <w:rFonts w:ascii="Sylfaen" w:eastAsia="Sylfaen" w:hAnsi="Sylfaen" w:cs="Sylfaen"/>
          <w:sz w:val="24"/>
          <w:szCs w:val="24"/>
        </w:rPr>
        <w:t xml:space="preserve"> sees peace education as being part of human rights education and human rights education as crucial for world peace (Page, 2008). “Education should promote understanding, tolerance, peace and friendly relations between the nations and all racial or religious groups” (OHCHR, 1993).</w:t>
      </w:r>
    </w:p>
    <w:p w:rsidR="00AD020C" w:rsidRDefault="00AD020C">
      <w:pPr>
        <w:spacing w:line="200" w:lineRule="exact"/>
        <w:rPr>
          <w:sz w:val="20"/>
          <w:szCs w:val="20"/>
        </w:rPr>
      </w:pPr>
    </w:p>
    <w:p w:rsidR="00AD020C" w:rsidRDefault="00AD020C">
      <w:pPr>
        <w:spacing w:line="373" w:lineRule="exact"/>
        <w:rPr>
          <w:sz w:val="20"/>
          <w:szCs w:val="20"/>
        </w:rPr>
      </w:pPr>
    </w:p>
    <w:p w:rsidR="00AD020C" w:rsidRDefault="00000000">
      <w:pPr>
        <w:spacing w:line="353" w:lineRule="auto"/>
        <w:jc w:val="both"/>
        <w:rPr>
          <w:sz w:val="20"/>
          <w:szCs w:val="20"/>
        </w:rPr>
      </w:pPr>
      <w:r>
        <w:rPr>
          <w:rFonts w:ascii="Sylfaen" w:eastAsia="Sylfaen" w:hAnsi="Sylfaen" w:cs="Sylfaen"/>
          <w:sz w:val="24"/>
          <w:szCs w:val="24"/>
        </w:rPr>
        <w:t>Peace education, proposes a wide range of approaches, as well as aims, which differ on a state to state basis, according to the audience and socio-political and ideological context. However, peace education overlaps and shares theoretical and practical grounds with other types of “progressive educations” (Goldstein, 2000). These encompass the following: civics education, development education, environmental education, human rights education, and multi-cultural education. Hicks notes that peace education shares a concern of contemporary problems with global education as the basis of its content and a belief in participatory and active learning strategies (Hicks, 1988) (Perkins, 2002). Hicks and Galtung also distinguish between negative and positive peace, as well as direct and indirect (structural) violence (Hicks, 1988) (Galtung, A Structural Theory of Aggression, 1964) (Galtung, Violence, Peace, and Peace Research, 1969).</w:t>
      </w:r>
    </w:p>
    <w:p w:rsidR="00AD020C" w:rsidRDefault="00AD020C">
      <w:pPr>
        <w:spacing w:line="95" w:lineRule="exact"/>
        <w:rPr>
          <w:sz w:val="20"/>
          <w:szCs w:val="20"/>
        </w:rPr>
      </w:pPr>
    </w:p>
    <w:p w:rsidR="00AD020C" w:rsidRDefault="00000000">
      <w:pPr>
        <w:spacing w:line="341" w:lineRule="auto"/>
        <w:jc w:val="both"/>
        <w:rPr>
          <w:sz w:val="20"/>
          <w:szCs w:val="20"/>
        </w:rPr>
      </w:pPr>
      <w:r>
        <w:rPr>
          <w:rFonts w:ascii="Sylfaen" w:eastAsia="Sylfaen" w:hAnsi="Sylfaen" w:cs="Sylfaen"/>
          <w:sz w:val="24"/>
          <w:szCs w:val="24"/>
        </w:rPr>
        <w:t>Peace education has been identified as sharing common ground with citizenship and human rights education through beliefs in the interdependency of the world’s citizens (Harris &amp; Morrison, 2002) (Goldstein, 2000), and through its faith in tolerance and respect for difference, and an appreciation of the rights of others as being important to establish and maintain peace.</w:t>
      </w:r>
    </w:p>
    <w:p w:rsidR="00AD020C" w:rsidRDefault="00AD020C">
      <w:pPr>
        <w:spacing w:line="100" w:lineRule="exact"/>
        <w:rPr>
          <w:sz w:val="20"/>
          <w:szCs w:val="20"/>
        </w:rPr>
      </w:pPr>
    </w:p>
    <w:p w:rsidR="00AD020C" w:rsidRDefault="00000000">
      <w:pPr>
        <w:spacing w:line="303" w:lineRule="auto"/>
        <w:jc w:val="both"/>
        <w:rPr>
          <w:sz w:val="20"/>
          <w:szCs w:val="20"/>
        </w:rPr>
      </w:pPr>
      <w:r>
        <w:rPr>
          <w:rFonts w:ascii="Sylfaen" w:eastAsia="Sylfaen" w:hAnsi="Sylfaen" w:cs="Sylfaen"/>
          <w:sz w:val="24"/>
          <w:szCs w:val="24"/>
        </w:rPr>
        <w:t>According to Sharon Anne Cook, within these shared frameworks, peace education is defined as education that promotes concepts of non-violence, human rights, social justice, world-mindedness,</w:t>
      </w:r>
    </w:p>
    <w:p w:rsidR="00AD020C" w:rsidRDefault="00AD020C">
      <w:pPr>
        <w:sectPr w:rsidR="00AD020C">
          <w:type w:val="continuous"/>
          <w:pgSz w:w="12240" w:h="15840"/>
          <w:pgMar w:top="766" w:right="1080" w:bottom="164" w:left="1080" w:header="0" w:footer="0" w:gutter="0"/>
          <w:cols w:space="720" w:equalWidth="0">
            <w:col w:w="10080"/>
          </w:cols>
        </w:sectPr>
      </w:pPr>
    </w:p>
    <w:p w:rsidR="00AD020C" w:rsidRDefault="00AD020C">
      <w:pPr>
        <w:spacing w:line="335" w:lineRule="exact"/>
        <w:rPr>
          <w:sz w:val="20"/>
          <w:szCs w:val="20"/>
        </w:rPr>
      </w:pPr>
    </w:p>
    <w:p w:rsidR="00AD020C" w:rsidRDefault="00000000">
      <w:pPr>
        <w:ind w:left="9820"/>
        <w:rPr>
          <w:sz w:val="20"/>
          <w:szCs w:val="20"/>
        </w:rPr>
      </w:pPr>
      <w:r>
        <w:rPr>
          <w:rFonts w:ascii="Cambria" w:eastAsia="Cambria" w:hAnsi="Cambria" w:cs="Cambria"/>
          <w:sz w:val="23"/>
          <w:szCs w:val="23"/>
        </w:rPr>
        <w:t>31</w:t>
      </w:r>
    </w:p>
    <w:p w:rsidR="00AD020C" w:rsidRDefault="00AD020C">
      <w:pPr>
        <w:sectPr w:rsidR="00AD020C">
          <w:type w:val="continuous"/>
          <w:pgSz w:w="12240" w:h="15840"/>
          <w:pgMar w:top="766" w:right="1080" w:bottom="164" w:left="1080" w:header="0" w:footer="0" w:gutter="0"/>
          <w:cols w:space="720" w:equalWidth="0">
            <w:col w:w="10080"/>
          </w:cols>
        </w:sectPr>
      </w:pPr>
    </w:p>
    <w:p w:rsidR="00AD020C" w:rsidRDefault="00000000">
      <w:pPr>
        <w:jc w:val="center"/>
        <w:rPr>
          <w:sz w:val="20"/>
          <w:szCs w:val="20"/>
        </w:rPr>
      </w:pPr>
      <w:bookmarkStart w:id="10" w:name="page11"/>
      <w:bookmarkEnd w:id="10"/>
      <w:r>
        <w:rPr>
          <w:rFonts w:ascii="Sylfaen" w:eastAsia="Sylfaen" w:hAnsi="Sylfaen" w:cs="Sylfaen"/>
          <w:i/>
          <w:iCs/>
          <w:sz w:val="23"/>
          <w:szCs w:val="23"/>
        </w:rPr>
        <w:lastRenderedPageBreak/>
        <w:t>Environment and Society, N2, December, 2020, pp. 22-34</w:t>
      </w:r>
    </w:p>
    <w:p w:rsidR="00AD020C" w:rsidRDefault="00000000">
      <w:pPr>
        <w:spacing w:line="20" w:lineRule="exact"/>
        <w:rPr>
          <w:sz w:val="20"/>
          <w:szCs w:val="20"/>
        </w:rPr>
      </w:pPr>
      <w:r>
        <w:rPr>
          <w:noProof/>
          <w:sz w:val="20"/>
          <w:szCs w:val="20"/>
        </w:rPr>
        <w:drawing>
          <wp:anchor distT="0" distB="0" distL="114300" distR="114300" simplePos="0" relativeHeight="251662336" behindDoc="1" locked="0" layoutInCell="0" allowOverlap="1">
            <wp:simplePos x="0" y="0"/>
            <wp:positionH relativeFrom="column">
              <wp:posOffset>-17780</wp:posOffset>
            </wp:positionH>
            <wp:positionV relativeFrom="paragraph">
              <wp:posOffset>17780</wp:posOffset>
            </wp:positionV>
            <wp:extent cx="6438900" cy="635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srcRect/>
                    <a:stretch>
                      <a:fillRect/>
                    </a:stretch>
                  </pic:blipFill>
                  <pic:spPr bwMode="auto">
                    <a:xfrm>
                      <a:off x="0" y="0"/>
                      <a:ext cx="6438900" cy="6350"/>
                    </a:xfrm>
                    <a:prstGeom prst="rect">
                      <a:avLst/>
                    </a:prstGeom>
                    <a:noFill/>
                  </pic:spPr>
                </pic:pic>
              </a:graphicData>
            </a:graphic>
          </wp:anchor>
        </w:drawing>
      </w:r>
    </w:p>
    <w:p w:rsidR="00AD020C" w:rsidRDefault="00AD020C">
      <w:pPr>
        <w:sectPr w:rsidR="00AD020C">
          <w:pgSz w:w="12240" w:h="15840"/>
          <w:pgMar w:top="766" w:right="1080" w:bottom="164" w:left="1080" w:header="0" w:footer="0" w:gutter="0"/>
          <w:cols w:space="720" w:equalWidth="0">
            <w:col w:w="10080"/>
          </w:cols>
        </w:sectPr>
      </w:pPr>
    </w:p>
    <w:p w:rsidR="00AD020C" w:rsidRDefault="00AD020C">
      <w:pPr>
        <w:spacing w:line="200" w:lineRule="exact"/>
        <w:rPr>
          <w:sz w:val="20"/>
          <w:szCs w:val="20"/>
        </w:rPr>
      </w:pPr>
    </w:p>
    <w:p w:rsidR="00AD020C" w:rsidRDefault="00AD020C">
      <w:pPr>
        <w:spacing w:line="200" w:lineRule="exact"/>
        <w:rPr>
          <w:sz w:val="20"/>
          <w:szCs w:val="20"/>
        </w:rPr>
      </w:pPr>
    </w:p>
    <w:p w:rsidR="00AD020C" w:rsidRDefault="00AD020C">
      <w:pPr>
        <w:spacing w:line="265" w:lineRule="exact"/>
        <w:rPr>
          <w:sz w:val="20"/>
          <w:szCs w:val="20"/>
        </w:rPr>
      </w:pPr>
    </w:p>
    <w:p w:rsidR="00AD020C" w:rsidRDefault="00000000">
      <w:pPr>
        <w:spacing w:line="305" w:lineRule="auto"/>
        <w:jc w:val="both"/>
        <w:rPr>
          <w:sz w:val="20"/>
          <w:szCs w:val="20"/>
        </w:rPr>
      </w:pPr>
      <w:r>
        <w:rPr>
          <w:rFonts w:ascii="Sylfaen" w:eastAsia="Sylfaen" w:hAnsi="Sylfaen" w:cs="Sylfaen"/>
          <w:sz w:val="24"/>
          <w:szCs w:val="24"/>
        </w:rPr>
        <w:t>ecological balance, meaningful participation (Cook, 2008). Others define peace as all those times when a nation is not actively at war, and peace education as everything supporting that condition.</w:t>
      </w:r>
    </w:p>
    <w:p w:rsidR="00AD020C" w:rsidRDefault="00AD020C">
      <w:pPr>
        <w:spacing w:line="200" w:lineRule="exact"/>
        <w:rPr>
          <w:sz w:val="20"/>
          <w:szCs w:val="20"/>
        </w:rPr>
      </w:pPr>
    </w:p>
    <w:p w:rsidR="00AD020C" w:rsidRDefault="00AD020C">
      <w:pPr>
        <w:spacing w:line="200" w:lineRule="exact"/>
        <w:rPr>
          <w:sz w:val="20"/>
          <w:szCs w:val="20"/>
        </w:rPr>
      </w:pPr>
    </w:p>
    <w:p w:rsidR="00AD020C" w:rsidRDefault="00AD020C">
      <w:pPr>
        <w:spacing w:line="220" w:lineRule="exact"/>
        <w:rPr>
          <w:sz w:val="20"/>
          <w:szCs w:val="20"/>
        </w:rPr>
      </w:pPr>
    </w:p>
    <w:p w:rsidR="00AD020C" w:rsidRDefault="00000000">
      <w:pPr>
        <w:spacing w:line="349" w:lineRule="auto"/>
        <w:jc w:val="both"/>
        <w:rPr>
          <w:sz w:val="20"/>
          <w:szCs w:val="20"/>
        </w:rPr>
      </w:pPr>
      <w:r>
        <w:rPr>
          <w:rFonts w:ascii="Sylfaen" w:eastAsia="Sylfaen" w:hAnsi="Sylfaen" w:cs="Sylfaen"/>
          <w:sz w:val="24"/>
          <w:szCs w:val="24"/>
        </w:rPr>
        <w:t>Japan and Germany have experimented with peace education for the past 50 years. After the defeat in WWII in 1945, Japan reformed it’s education system on the basis of a new constitution and specifically the Fundamental Law of Education. The law, particularly it’s Article 9 proclaims pacifism and democracy to be its core and renounces war forever as its sovereign right and the use of force as means of settling international disputes. The preamble of the Fundamental Law of Education aspires “to bring up people who love truth and peace” (Hara, 2012)</w:t>
      </w:r>
    </w:p>
    <w:p w:rsidR="00AD020C" w:rsidRDefault="00AD020C">
      <w:pPr>
        <w:spacing w:line="87" w:lineRule="exact"/>
        <w:rPr>
          <w:sz w:val="20"/>
          <w:szCs w:val="20"/>
        </w:rPr>
      </w:pPr>
    </w:p>
    <w:p w:rsidR="00AD020C" w:rsidRDefault="00000000">
      <w:pPr>
        <w:spacing w:line="353" w:lineRule="auto"/>
        <w:jc w:val="both"/>
        <w:rPr>
          <w:sz w:val="20"/>
          <w:szCs w:val="20"/>
        </w:rPr>
      </w:pPr>
      <w:r>
        <w:rPr>
          <w:rFonts w:ascii="Sylfaen" w:eastAsia="Sylfaen" w:hAnsi="Sylfaen" w:cs="Sylfaen"/>
          <w:sz w:val="24"/>
          <w:szCs w:val="24"/>
        </w:rPr>
        <w:t>As the consequences and damage caused by the two atomic bombs on Hiroshima and Nagasaki began to be revealed to the public, the Japan Teachers Union (JTU) adopted the slogan ‘Never send our students to the battlefield again’ in 1951, and it became the central focus of JTU activities for a long time. In 1968 the Hiroshima Municipal Board of Education distributed its first official guidelines for teaching the subject of peace education to elementary, junior high and senior high schools. Their peace education, which is based on the hope of a peaceful world, which will be free of nuclear weapons, provided the foundation of peace education all over Japan. Since then Peace education has been taught not only as an independent subject, i.e., moral education, but also across different subjects such as social studies and Japanese literature, as well as special activities such as school excursions to Hiroshima and Nagasaki, since the 1980s (Hara, 2012).</w:t>
      </w:r>
    </w:p>
    <w:p w:rsidR="00AD020C" w:rsidRDefault="00AD020C">
      <w:pPr>
        <w:spacing w:line="200" w:lineRule="exact"/>
        <w:rPr>
          <w:sz w:val="20"/>
          <w:szCs w:val="20"/>
        </w:rPr>
      </w:pPr>
    </w:p>
    <w:p w:rsidR="00AD020C" w:rsidRDefault="00AD020C">
      <w:pPr>
        <w:spacing w:line="367" w:lineRule="exact"/>
        <w:rPr>
          <w:sz w:val="20"/>
          <w:szCs w:val="20"/>
        </w:rPr>
      </w:pPr>
    </w:p>
    <w:p w:rsidR="00AD020C" w:rsidRDefault="00000000">
      <w:pPr>
        <w:spacing w:line="344" w:lineRule="auto"/>
        <w:jc w:val="both"/>
        <w:rPr>
          <w:sz w:val="20"/>
          <w:szCs w:val="20"/>
        </w:rPr>
      </w:pPr>
      <w:r>
        <w:rPr>
          <w:rFonts w:ascii="Sylfaen" w:eastAsia="Sylfaen" w:hAnsi="Sylfaen" w:cs="Sylfaen"/>
          <w:sz w:val="24"/>
          <w:szCs w:val="24"/>
        </w:rPr>
        <w:t>‘Re-education’/‘re-orientation’ was an important factor in rebuilding both parts of Germany after WWII. The process entailed dismissing teachers with Nazi party affiliations and backgrounds and destroying ideologically biased textbooks. The new constitution of the Federal Republic of Germany, also promoted peace and democracy and granted educational autonomy to the State governments, which caused to decentralize the education system, setting basis for grass-roots peace education in the Federal Republic of Germany. Textbooks in Germany are not written and published by the central government-selected scholars and therefore differ between states (länder). Based on the belief that school education should not undermine independent and critical thinking</w:t>
      </w:r>
    </w:p>
    <w:p w:rsidR="00AD020C" w:rsidRDefault="00AD020C">
      <w:pPr>
        <w:sectPr w:rsidR="00AD020C">
          <w:type w:val="continuous"/>
          <w:pgSz w:w="12240" w:h="15840"/>
          <w:pgMar w:top="766" w:right="1080" w:bottom="164" w:left="1080" w:header="0" w:footer="0" w:gutter="0"/>
          <w:cols w:space="720" w:equalWidth="0">
            <w:col w:w="10080"/>
          </w:cols>
        </w:sectPr>
      </w:pPr>
    </w:p>
    <w:p w:rsidR="00AD020C" w:rsidRDefault="00000000">
      <w:pPr>
        <w:ind w:left="9820"/>
        <w:rPr>
          <w:sz w:val="20"/>
          <w:szCs w:val="20"/>
        </w:rPr>
      </w:pPr>
      <w:r>
        <w:rPr>
          <w:rFonts w:ascii="Cambria" w:eastAsia="Cambria" w:hAnsi="Cambria" w:cs="Cambria"/>
          <w:sz w:val="23"/>
          <w:szCs w:val="23"/>
        </w:rPr>
        <w:t>32</w:t>
      </w:r>
    </w:p>
    <w:p w:rsidR="00AD020C" w:rsidRDefault="00AD020C">
      <w:pPr>
        <w:sectPr w:rsidR="00AD020C">
          <w:type w:val="continuous"/>
          <w:pgSz w:w="12240" w:h="15840"/>
          <w:pgMar w:top="766" w:right="1080" w:bottom="164" w:left="1080" w:header="0" w:footer="0" w:gutter="0"/>
          <w:cols w:space="720" w:equalWidth="0">
            <w:col w:w="10080"/>
          </w:cols>
        </w:sectPr>
      </w:pPr>
    </w:p>
    <w:p w:rsidR="00AD020C" w:rsidRDefault="00000000">
      <w:pPr>
        <w:jc w:val="center"/>
        <w:rPr>
          <w:sz w:val="20"/>
          <w:szCs w:val="20"/>
        </w:rPr>
      </w:pPr>
      <w:bookmarkStart w:id="11" w:name="page12"/>
      <w:bookmarkEnd w:id="11"/>
      <w:r>
        <w:rPr>
          <w:rFonts w:ascii="Sylfaen" w:eastAsia="Sylfaen" w:hAnsi="Sylfaen" w:cs="Sylfaen"/>
          <w:i/>
          <w:iCs/>
          <w:sz w:val="23"/>
          <w:szCs w:val="23"/>
        </w:rPr>
        <w:lastRenderedPageBreak/>
        <w:t>Environment and Society, N2, December, 2020, pp. 22-34</w:t>
      </w:r>
    </w:p>
    <w:p w:rsidR="00AD020C" w:rsidRDefault="00000000">
      <w:pPr>
        <w:spacing w:line="20" w:lineRule="exact"/>
        <w:rPr>
          <w:sz w:val="20"/>
          <w:szCs w:val="20"/>
        </w:rPr>
      </w:pPr>
      <w:r>
        <w:rPr>
          <w:noProof/>
          <w:sz w:val="20"/>
          <w:szCs w:val="20"/>
        </w:rPr>
        <w:drawing>
          <wp:anchor distT="0" distB="0" distL="114300" distR="114300" simplePos="0" relativeHeight="251663360" behindDoc="1" locked="0" layoutInCell="0" allowOverlap="1">
            <wp:simplePos x="0" y="0"/>
            <wp:positionH relativeFrom="column">
              <wp:posOffset>-17780</wp:posOffset>
            </wp:positionH>
            <wp:positionV relativeFrom="paragraph">
              <wp:posOffset>17780</wp:posOffset>
            </wp:positionV>
            <wp:extent cx="6438900" cy="635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srcRect/>
                    <a:stretch>
                      <a:fillRect/>
                    </a:stretch>
                  </pic:blipFill>
                  <pic:spPr bwMode="auto">
                    <a:xfrm>
                      <a:off x="0" y="0"/>
                      <a:ext cx="6438900" cy="6350"/>
                    </a:xfrm>
                    <a:prstGeom prst="rect">
                      <a:avLst/>
                    </a:prstGeom>
                    <a:noFill/>
                  </pic:spPr>
                </pic:pic>
              </a:graphicData>
            </a:graphic>
          </wp:anchor>
        </w:drawing>
      </w:r>
    </w:p>
    <w:p w:rsidR="00AD020C" w:rsidRDefault="00AD020C">
      <w:pPr>
        <w:sectPr w:rsidR="00AD020C">
          <w:pgSz w:w="12240" w:h="15840"/>
          <w:pgMar w:top="766" w:right="1080" w:bottom="164" w:left="1080" w:header="0" w:footer="0" w:gutter="0"/>
          <w:cols w:space="720" w:equalWidth="0">
            <w:col w:w="10080"/>
          </w:cols>
        </w:sectPr>
      </w:pPr>
    </w:p>
    <w:p w:rsidR="00AD020C" w:rsidRDefault="00AD020C">
      <w:pPr>
        <w:spacing w:line="200" w:lineRule="exact"/>
        <w:rPr>
          <w:sz w:val="20"/>
          <w:szCs w:val="20"/>
        </w:rPr>
      </w:pPr>
    </w:p>
    <w:p w:rsidR="00AD020C" w:rsidRDefault="00AD020C">
      <w:pPr>
        <w:spacing w:line="200" w:lineRule="exact"/>
        <w:rPr>
          <w:sz w:val="20"/>
          <w:szCs w:val="20"/>
        </w:rPr>
      </w:pPr>
    </w:p>
    <w:p w:rsidR="00AD020C" w:rsidRDefault="00AD020C">
      <w:pPr>
        <w:spacing w:line="265" w:lineRule="exact"/>
        <w:rPr>
          <w:sz w:val="20"/>
          <w:szCs w:val="20"/>
        </w:rPr>
      </w:pPr>
    </w:p>
    <w:p w:rsidR="00AD020C" w:rsidRDefault="00000000">
      <w:pPr>
        <w:spacing w:line="305" w:lineRule="auto"/>
        <w:jc w:val="both"/>
        <w:rPr>
          <w:sz w:val="20"/>
          <w:szCs w:val="20"/>
        </w:rPr>
      </w:pPr>
      <w:r>
        <w:rPr>
          <w:rFonts w:ascii="Sylfaen" w:eastAsia="Sylfaen" w:hAnsi="Sylfaen" w:cs="Sylfaen"/>
          <w:sz w:val="24"/>
          <w:szCs w:val="24"/>
        </w:rPr>
        <w:t>of children, textbook drafts were judged based on whether it was in line with the Basic Law, and not on the basis that its ideology might have been problematic.</w:t>
      </w:r>
    </w:p>
    <w:p w:rsidR="00AD020C" w:rsidRDefault="00AD020C">
      <w:pPr>
        <w:spacing w:line="200" w:lineRule="exact"/>
        <w:rPr>
          <w:sz w:val="20"/>
          <w:szCs w:val="20"/>
        </w:rPr>
      </w:pPr>
    </w:p>
    <w:p w:rsidR="00AD020C" w:rsidRDefault="00AD020C">
      <w:pPr>
        <w:spacing w:line="200" w:lineRule="exact"/>
        <w:rPr>
          <w:sz w:val="20"/>
          <w:szCs w:val="20"/>
        </w:rPr>
      </w:pPr>
    </w:p>
    <w:p w:rsidR="00AD020C" w:rsidRDefault="00AD020C">
      <w:pPr>
        <w:spacing w:line="220" w:lineRule="exact"/>
        <w:rPr>
          <w:sz w:val="20"/>
          <w:szCs w:val="20"/>
        </w:rPr>
      </w:pPr>
    </w:p>
    <w:p w:rsidR="00AD020C" w:rsidRDefault="00000000">
      <w:pPr>
        <w:spacing w:line="346" w:lineRule="auto"/>
        <w:jc w:val="both"/>
        <w:rPr>
          <w:sz w:val="20"/>
          <w:szCs w:val="20"/>
        </w:rPr>
      </w:pPr>
      <w:r>
        <w:rPr>
          <w:rFonts w:ascii="Sylfaen" w:eastAsia="Sylfaen" w:hAnsi="Sylfaen" w:cs="Sylfaen"/>
          <w:sz w:val="24"/>
          <w:szCs w:val="24"/>
        </w:rPr>
        <w:t>Although the states’ educational guidelines vary to some extent, they have a lot in common in terms of their attitudes towards history education and today, history education at school is regarded as a part of peace education in Germany. In History education in Germany the main focus lays upon analyzing the value and behavior of those Germans involved in the inhuman and cruel political system and activities of the Third Reich in the past. (Hara, 2012),</w:t>
      </w:r>
    </w:p>
    <w:p w:rsidR="00AD020C" w:rsidRDefault="00AD020C">
      <w:pPr>
        <w:spacing w:line="200" w:lineRule="exact"/>
        <w:rPr>
          <w:sz w:val="20"/>
          <w:szCs w:val="20"/>
        </w:rPr>
      </w:pPr>
    </w:p>
    <w:p w:rsidR="00AD020C" w:rsidRDefault="00AD020C">
      <w:pPr>
        <w:spacing w:line="293" w:lineRule="exact"/>
        <w:rPr>
          <w:sz w:val="20"/>
          <w:szCs w:val="20"/>
        </w:rPr>
      </w:pPr>
    </w:p>
    <w:p w:rsidR="00AD020C" w:rsidRDefault="00000000">
      <w:pPr>
        <w:rPr>
          <w:sz w:val="20"/>
          <w:szCs w:val="20"/>
        </w:rPr>
      </w:pPr>
      <w:r>
        <w:rPr>
          <w:rFonts w:ascii="Sylfaen" w:eastAsia="Sylfaen" w:hAnsi="Sylfaen" w:cs="Sylfaen"/>
          <w:b/>
          <w:bCs/>
          <w:sz w:val="24"/>
          <w:szCs w:val="24"/>
          <w:u w:val="single"/>
        </w:rPr>
        <w:t>Conclusions</w:t>
      </w:r>
    </w:p>
    <w:p w:rsidR="00AD020C" w:rsidRDefault="00AD020C">
      <w:pPr>
        <w:spacing w:line="232" w:lineRule="exact"/>
        <w:rPr>
          <w:sz w:val="20"/>
          <w:szCs w:val="20"/>
        </w:rPr>
      </w:pPr>
    </w:p>
    <w:p w:rsidR="00AD020C" w:rsidRDefault="00000000">
      <w:pPr>
        <w:spacing w:line="353" w:lineRule="auto"/>
        <w:jc w:val="both"/>
        <w:rPr>
          <w:sz w:val="20"/>
          <w:szCs w:val="20"/>
        </w:rPr>
      </w:pPr>
      <w:r>
        <w:rPr>
          <w:rFonts w:ascii="Sylfaen" w:eastAsia="Sylfaen" w:hAnsi="Sylfaen" w:cs="Sylfaen"/>
          <w:sz w:val="24"/>
          <w:szCs w:val="24"/>
        </w:rPr>
        <w:t>There are only a few examples of integrating peace education principles in formal school education curriculums as are in the cases of post-war Germany and Japan. Therefore it can be assumed that, the lack of a comprehensive data on peace education around the world has prevented government officials of conflict-affected countries and aid workers from implementing peace education in a systematic and comprehensive manner (Hara, 2012). From the analysis of the existing literature, it can also be assumed that teachings that include peace education principles are not often titled as peace education, and may fall under the topic of civics, citizenship education or else, therefore in order to obtain a deeper understanding of what constitutes peace education and if specific countries are in line with peace education principles, a close examination of each country’s educational policy is required.</w:t>
      </w:r>
    </w:p>
    <w:p w:rsidR="00AD020C" w:rsidRDefault="00AD020C">
      <w:pPr>
        <w:spacing w:line="200" w:lineRule="exact"/>
        <w:rPr>
          <w:sz w:val="20"/>
          <w:szCs w:val="20"/>
        </w:rPr>
      </w:pPr>
    </w:p>
    <w:p w:rsidR="00AD020C" w:rsidRDefault="00AD020C">
      <w:pPr>
        <w:spacing w:line="200" w:lineRule="exact"/>
        <w:rPr>
          <w:sz w:val="20"/>
          <w:szCs w:val="20"/>
        </w:rPr>
      </w:pPr>
    </w:p>
    <w:p w:rsidR="00AD020C" w:rsidRDefault="00AD020C">
      <w:pPr>
        <w:spacing w:line="200" w:lineRule="exact"/>
        <w:rPr>
          <w:sz w:val="20"/>
          <w:szCs w:val="20"/>
        </w:rPr>
      </w:pPr>
    </w:p>
    <w:p w:rsidR="00AD020C" w:rsidRDefault="00AD020C">
      <w:pPr>
        <w:spacing w:line="374" w:lineRule="exact"/>
        <w:rPr>
          <w:sz w:val="20"/>
          <w:szCs w:val="20"/>
        </w:rPr>
      </w:pPr>
    </w:p>
    <w:p w:rsidR="00AD020C" w:rsidRDefault="00000000">
      <w:pPr>
        <w:rPr>
          <w:sz w:val="20"/>
          <w:szCs w:val="20"/>
        </w:rPr>
      </w:pPr>
      <w:r>
        <w:rPr>
          <w:rFonts w:ascii="Sylfaen" w:eastAsia="Sylfaen" w:hAnsi="Sylfaen" w:cs="Sylfaen"/>
          <w:b/>
          <w:bCs/>
          <w:color w:val="365F91"/>
          <w:sz w:val="24"/>
          <w:szCs w:val="24"/>
        </w:rPr>
        <w:t>Bibliography</w:t>
      </w:r>
    </w:p>
    <w:p w:rsidR="00AD020C" w:rsidRDefault="00AD020C">
      <w:pPr>
        <w:spacing w:line="157" w:lineRule="exact"/>
        <w:rPr>
          <w:sz w:val="20"/>
          <w:szCs w:val="20"/>
        </w:rPr>
      </w:pPr>
    </w:p>
    <w:p w:rsidR="00AD020C" w:rsidRDefault="00000000">
      <w:pPr>
        <w:rPr>
          <w:sz w:val="20"/>
          <w:szCs w:val="20"/>
        </w:rPr>
      </w:pPr>
      <w:r>
        <w:rPr>
          <w:rFonts w:ascii="Sylfaen" w:eastAsia="Sylfaen" w:hAnsi="Sylfaen" w:cs="Sylfaen"/>
          <w:sz w:val="24"/>
          <w:szCs w:val="24"/>
        </w:rPr>
        <w:t xml:space="preserve">UN. (1984). </w:t>
      </w:r>
      <w:r>
        <w:rPr>
          <w:rFonts w:ascii="Sylfaen" w:eastAsia="Sylfaen" w:hAnsi="Sylfaen" w:cs="Sylfaen"/>
          <w:i/>
          <w:iCs/>
          <w:sz w:val="24"/>
          <w:szCs w:val="24"/>
        </w:rPr>
        <w:t>Resolution 39/11 Right of Peoples to Peace.</w:t>
      </w:r>
      <w:r>
        <w:rPr>
          <w:rFonts w:ascii="Sylfaen" w:eastAsia="Sylfaen" w:hAnsi="Sylfaen" w:cs="Sylfaen"/>
          <w:sz w:val="24"/>
          <w:szCs w:val="24"/>
        </w:rPr>
        <w:t xml:space="preserve"> Retrieved from</w:t>
      </w:r>
    </w:p>
    <w:p w:rsidR="00AD020C" w:rsidRDefault="00AD020C">
      <w:pPr>
        <w:spacing w:line="159" w:lineRule="exact"/>
        <w:rPr>
          <w:sz w:val="20"/>
          <w:szCs w:val="20"/>
        </w:rPr>
      </w:pPr>
    </w:p>
    <w:p w:rsidR="00AD020C" w:rsidRDefault="00000000">
      <w:pPr>
        <w:rPr>
          <w:sz w:val="20"/>
          <w:szCs w:val="20"/>
        </w:rPr>
      </w:pPr>
      <w:r>
        <w:rPr>
          <w:rFonts w:ascii="Sylfaen" w:eastAsia="Sylfaen" w:hAnsi="Sylfaen" w:cs="Sylfaen"/>
          <w:sz w:val="24"/>
          <w:szCs w:val="24"/>
        </w:rPr>
        <w:t>http://www.un.org/documents/ga/res/39/a39r011.htm</w:t>
      </w:r>
    </w:p>
    <w:p w:rsidR="00AD020C" w:rsidRDefault="00AD020C">
      <w:pPr>
        <w:spacing w:line="157" w:lineRule="exact"/>
        <w:rPr>
          <w:sz w:val="20"/>
          <w:szCs w:val="20"/>
        </w:rPr>
      </w:pPr>
    </w:p>
    <w:p w:rsidR="00AD020C" w:rsidRDefault="00000000">
      <w:pPr>
        <w:rPr>
          <w:sz w:val="20"/>
          <w:szCs w:val="20"/>
        </w:rPr>
      </w:pPr>
      <w:r>
        <w:rPr>
          <w:rFonts w:ascii="Sylfaen" w:eastAsia="Sylfaen" w:hAnsi="Sylfaen" w:cs="Sylfaen"/>
          <w:sz w:val="24"/>
          <w:szCs w:val="24"/>
        </w:rPr>
        <w:t>UNESCO. (1995). Declaration of Principles on Tolerance.</w:t>
      </w:r>
    </w:p>
    <w:p w:rsidR="00AD020C" w:rsidRDefault="00AD020C">
      <w:pPr>
        <w:spacing w:line="159" w:lineRule="exact"/>
        <w:rPr>
          <w:sz w:val="20"/>
          <w:szCs w:val="20"/>
        </w:rPr>
      </w:pPr>
    </w:p>
    <w:p w:rsidR="00AD020C" w:rsidRDefault="00000000">
      <w:pPr>
        <w:rPr>
          <w:sz w:val="20"/>
          <w:szCs w:val="20"/>
        </w:rPr>
      </w:pPr>
      <w:r>
        <w:rPr>
          <w:rFonts w:ascii="Sylfaen" w:eastAsia="Sylfaen" w:hAnsi="Sylfaen" w:cs="Sylfaen"/>
          <w:sz w:val="24"/>
          <w:szCs w:val="24"/>
        </w:rPr>
        <w:t>Burton, J. (1990). Conflict: Human Needs Theory.</w:t>
      </w:r>
    </w:p>
    <w:p w:rsidR="00AD020C" w:rsidRDefault="00AD020C">
      <w:pPr>
        <w:sectPr w:rsidR="00AD020C">
          <w:type w:val="continuous"/>
          <w:pgSz w:w="12240" w:h="15840"/>
          <w:pgMar w:top="766" w:right="1080" w:bottom="164" w:left="1080" w:header="0" w:footer="0" w:gutter="0"/>
          <w:cols w:space="720" w:equalWidth="0">
            <w:col w:w="10080"/>
          </w:cols>
        </w:sectPr>
      </w:pPr>
    </w:p>
    <w:p w:rsidR="00AD020C" w:rsidRDefault="00AD020C">
      <w:pPr>
        <w:spacing w:line="200" w:lineRule="exact"/>
        <w:rPr>
          <w:sz w:val="20"/>
          <w:szCs w:val="20"/>
        </w:rPr>
      </w:pPr>
    </w:p>
    <w:p w:rsidR="00AD020C" w:rsidRDefault="00AD020C">
      <w:pPr>
        <w:spacing w:line="330" w:lineRule="exact"/>
        <w:rPr>
          <w:sz w:val="20"/>
          <w:szCs w:val="20"/>
        </w:rPr>
      </w:pPr>
    </w:p>
    <w:p w:rsidR="00AD020C" w:rsidRDefault="00000000">
      <w:pPr>
        <w:ind w:left="9820"/>
        <w:rPr>
          <w:sz w:val="20"/>
          <w:szCs w:val="20"/>
        </w:rPr>
      </w:pPr>
      <w:r>
        <w:rPr>
          <w:rFonts w:ascii="Cambria" w:eastAsia="Cambria" w:hAnsi="Cambria" w:cs="Cambria"/>
          <w:sz w:val="23"/>
          <w:szCs w:val="23"/>
        </w:rPr>
        <w:t>33</w:t>
      </w:r>
    </w:p>
    <w:p w:rsidR="00AD020C" w:rsidRDefault="00AD020C">
      <w:pPr>
        <w:sectPr w:rsidR="00AD020C">
          <w:type w:val="continuous"/>
          <w:pgSz w:w="12240" w:h="15840"/>
          <w:pgMar w:top="766" w:right="1080" w:bottom="164" w:left="1080" w:header="0" w:footer="0" w:gutter="0"/>
          <w:cols w:space="720" w:equalWidth="0">
            <w:col w:w="10080"/>
          </w:cols>
        </w:sectPr>
      </w:pPr>
    </w:p>
    <w:p w:rsidR="00AD020C" w:rsidRDefault="00000000">
      <w:pPr>
        <w:jc w:val="center"/>
        <w:rPr>
          <w:sz w:val="20"/>
          <w:szCs w:val="20"/>
        </w:rPr>
      </w:pPr>
      <w:bookmarkStart w:id="12" w:name="page13"/>
      <w:bookmarkEnd w:id="12"/>
      <w:r>
        <w:rPr>
          <w:rFonts w:ascii="Sylfaen" w:eastAsia="Sylfaen" w:hAnsi="Sylfaen" w:cs="Sylfaen"/>
          <w:i/>
          <w:iCs/>
          <w:sz w:val="23"/>
          <w:szCs w:val="23"/>
        </w:rPr>
        <w:lastRenderedPageBreak/>
        <w:t>Environment and Society, N2, December, 2020, pp. 22-34</w:t>
      </w:r>
    </w:p>
    <w:p w:rsidR="00AD020C" w:rsidRDefault="00000000">
      <w:pPr>
        <w:spacing w:line="20" w:lineRule="exact"/>
        <w:rPr>
          <w:sz w:val="20"/>
          <w:szCs w:val="20"/>
        </w:rPr>
      </w:pPr>
      <w:r>
        <w:rPr>
          <w:noProof/>
          <w:sz w:val="20"/>
          <w:szCs w:val="20"/>
        </w:rPr>
        <w:drawing>
          <wp:anchor distT="0" distB="0" distL="114300" distR="114300" simplePos="0" relativeHeight="251664384" behindDoc="1" locked="0" layoutInCell="0" allowOverlap="1">
            <wp:simplePos x="0" y="0"/>
            <wp:positionH relativeFrom="column">
              <wp:posOffset>-17780</wp:posOffset>
            </wp:positionH>
            <wp:positionV relativeFrom="paragraph">
              <wp:posOffset>17780</wp:posOffset>
            </wp:positionV>
            <wp:extent cx="6438900" cy="635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a:srcRect/>
                    <a:stretch>
                      <a:fillRect/>
                    </a:stretch>
                  </pic:blipFill>
                  <pic:spPr bwMode="auto">
                    <a:xfrm>
                      <a:off x="0" y="0"/>
                      <a:ext cx="6438900" cy="6350"/>
                    </a:xfrm>
                    <a:prstGeom prst="rect">
                      <a:avLst/>
                    </a:prstGeom>
                    <a:noFill/>
                  </pic:spPr>
                </pic:pic>
              </a:graphicData>
            </a:graphic>
          </wp:anchor>
        </w:drawing>
      </w:r>
    </w:p>
    <w:p w:rsidR="00AD020C" w:rsidRDefault="00AD020C">
      <w:pPr>
        <w:sectPr w:rsidR="00AD020C">
          <w:pgSz w:w="12240" w:h="15840"/>
          <w:pgMar w:top="766" w:right="1080" w:bottom="164" w:left="1080" w:header="0" w:footer="0" w:gutter="0"/>
          <w:cols w:space="720" w:equalWidth="0">
            <w:col w:w="10080"/>
          </w:cols>
        </w:sectPr>
      </w:pPr>
    </w:p>
    <w:p w:rsidR="00AD020C" w:rsidRDefault="00AD020C">
      <w:pPr>
        <w:spacing w:line="200" w:lineRule="exact"/>
        <w:rPr>
          <w:sz w:val="20"/>
          <w:szCs w:val="20"/>
        </w:rPr>
      </w:pPr>
    </w:p>
    <w:p w:rsidR="00AD020C" w:rsidRDefault="00AD020C">
      <w:pPr>
        <w:spacing w:line="200" w:lineRule="exact"/>
        <w:rPr>
          <w:sz w:val="20"/>
          <w:szCs w:val="20"/>
        </w:rPr>
      </w:pPr>
    </w:p>
    <w:p w:rsidR="00AD020C" w:rsidRDefault="00AD020C">
      <w:pPr>
        <w:spacing w:line="265" w:lineRule="exact"/>
        <w:rPr>
          <w:sz w:val="20"/>
          <w:szCs w:val="20"/>
        </w:rPr>
      </w:pPr>
    </w:p>
    <w:p w:rsidR="00AD020C" w:rsidRDefault="00000000">
      <w:pPr>
        <w:spacing w:line="332" w:lineRule="auto"/>
        <w:ind w:right="720"/>
        <w:rPr>
          <w:sz w:val="20"/>
          <w:szCs w:val="20"/>
        </w:rPr>
      </w:pPr>
      <w:r>
        <w:rPr>
          <w:rFonts w:ascii="Sylfaen" w:eastAsia="Sylfaen" w:hAnsi="Sylfaen" w:cs="Sylfaen"/>
          <w:sz w:val="24"/>
          <w:szCs w:val="24"/>
        </w:rPr>
        <w:t xml:space="preserve">Cook, S. A. (2008). Give Peace a Chance: The Diminution of Peace in Global Education in the United States, United Kingdom, and Canada. </w:t>
      </w:r>
      <w:r>
        <w:rPr>
          <w:rFonts w:ascii="Sylfaen" w:eastAsia="Sylfaen" w:hAnsi="Sylfaen" w:cs="Sylfaen"/>
          <w:i/>
          <w:iCs/>
          <w:sz w:val="24"/>
          <w:szCs w:val="24"/>
        </w:rPr>
        <w:t>Canadian Journal of Education , 31</w:t>
      </w:r>
      <w:r>
        <w:rPr>
          <w:rFonts w:ascii="Sylfaen" w:eastAsia="Sylfaen" w:hAnsi="Sylfaen" w:cs="Sylfaen"/>
          <w:sz w:val="24"/>
          <w:szCs w:val="24"/>
        </w:rPr>
        <w:t xml:space="preserve"> (4). Dollard, J. (1939). </w:t>
      </w:r>
      <w:r>
        <w:rPr>
          <w:rFonts w:ascii="Sylfaen" w:eastAsia="Sylfaen" w:hAnsi="Sylfaen" w:cs="Sylfaen"/>
          <w:i/>
          <w:iCs/>
          <w:sz w:val="24"/>
          <w:szCs w:val="24"/>
        </w:rPr>
        <w:t>Frustration and Aggression.</w:t>
      </w:r>
    </w:p>
    <w:p w:rsidR="00AD020C" w:rsidRDefault="00AD020C">
      <w:pPr>
        <w:spacing w:line="38" w:lineRule="exact"/>
        <w:rPr>
          <w:sz w:val="20"/>
          <w:szCs w:val="20"/>
        </w:rPr>
      </w:pPr>
    </w:p>
    <w:p w:rsidR="00AD020C" w:rsidRDefault="00000000">
      <w:pPr>
        <w:rPr>
          <w:sz w:val="20"/>
          <w:szCs w:val="20"/>
        </w:rPr>
      </w:pPr>
      <w:r>
        <w:rPr>
          <w:rFonts w:ascii="Sylfaen" w:eastAsia="Sylfaen" w:hAnsi="Sylfaen" w:cs="Sylfaen"/>
          <w:sz w:val="24"/>
          <w:szCs w:val="24"/>
        </w:rPr>
        <w:t xml:space="preserve">Festinger, L. (1957). </w:t>
      </w:r>
      <w:r>
        <w:rPr>
          <w:rFonts w:ascii="Sylfaen" w:eastAsia="Sylfaen" w:hAnsi="Sylfaen" w:cs="Sylfaen"/>
          <w:i/>
          <w:iCs/>
          <w:sz w:val="24"/>
          <w:szCs w:val="24"/>
        </w:rPr>
        <w:t>A Theory of Cognitive Dissonance.</w:t>
      </w:r>
    </w:p>
    <w:p w:rsidR="00AD020C" w:rsidRDefault="00AD020C">
      <w:pPr>
        <w:spacing w:line="230" w:lineRule="exact"/>
        <w:rPr>
          <w:sz w:val="20"/>
          <w:szCs w:val="20"/>
        </w:rPr>
      </w:pPr>
    </w:p>
    <w:p w:rsidR="00AD020C" w:rsidRDefault="00000000">
      <w:pPr>
        <w:spacing w:line="305" w:lineRule="auto"/>
        <w:ind w:right="80"/>
        <w:rPr>
          <w:sz w:val="20"/>
          <w:szCs w:val="20"/>
        </w:rPr>
      </w:pPr>
      <w:r>
        <w:rPr>
          <w:rFonts w:ascii="Sylfaen" w:eastAsia="Sylfaen" w:hAnsi="Sylfaen" w:cs="Sylfaen"/>
          <w:sz w:val="24"/>
          <w:szCs w:val="24"/>
        </w:rPr>
        <w:t xml:space="preserve">Freire, P. (1985 ). </w:t>
      </w:r>
      <w:r>
        <w:rPr>
          <w:rFonts w:ascii="Sylfaen" w:eastAsia="Sylfaen" w:hAnsi="Sylfaen" w:cs="Sylfaen"/>
          <w:i/>
          <w:iCs/>
          <w:sz w:val="24"/>
          <w:szCs w:val="24"/>
        </w:rPr>
        <w:t>The Politics of Education: Culture, Power, and Liberation.</w:t>
      </w:r>
      <w:r>
        <w:rPr>
          <w:rFonts w:ascii="Sylfaen" w:eastAsia="Sylfaen" w:hAnsi="Sylfaen" w:cs="Sylfaen"/>
          <w:sz w:val="24"/>
          <w:szCs w:val="24"/>
        </w:rPr>
        <w:t xml:space="preserve"> Greenwood Publishing Group.</w:t>
      </w:r>
    </w:p>
    <w:p w:rsidR="00AD020C" w:rsidRDefault="00AD020C">
      <w:pPr>
        <w:spacing w:line="74" w:lineRule="exact"/>
        <w:rPr>
          <w:sz w:val="20"/>
          <w:szCs w:val="20"/>
        </w:rPr>
      </w:pPr>
    </w:p>
    <w:p w:rsidR="00AD020C" w:rsidRDefault="00000000">
      <w:pPr>
        <w:rPr>
          <w:sz w:val="20"/>
          <w:szCs w:val="20"/>
        </w:rPr>
      </w:pPr>
      <w:r>
        <w:rPr>
          <w:rFonts w:ascii="Sylfaen" w:eastAsia="Sylfaen" w:hAnsi="Sylfaen" w:cs="Sylfaen"/>
          <w:sz w:val="24"/>
          <w:szCs w:val="24"/>
        </w:rPr>
        <w:t xml:space="preserve">Gurr, T. R. (1970). </w:t>
      </w:r>
      <w:r>
        <w:rPr>
          <w:rFonts w:ascii="Sylfaen" w:eastAsia="Sylfaen" w:hAnsi="Sylfaen" w:cs="Sylfaen"/>
          <w:i/>
          <w:iCs/>
          <w:sz w:val="24"/>
          <w:szCs w:val="24"/>
        </w:rPr>
        <w:t>Why Men Rebel?</w:t>
      </w:r>
    </w:p>
    <w:p w:rsidR="00AD020C" w:rsidRDefault="00AD020C">
      <w:pPr>
        <w:spacing w:line="231" w:lineRule="exact"/>
        <w:rPr>
          <w:sz w:val="20"/>
          <w:szCs w:val="20"/>
        </w:rPr>
      </w:pPr>
    </w:p>
    <w:p w:rsidR="00AD020C" w:rsidRDefault="00000000">
      <w:pPr>
        <w:spacing w:line="305" w:lineRule="auto"/>
        <w:ind w:right="280"/>
        <w:rPr>
          <w:sz w:val="20"/>
          <w:szCs w:val="20"/>
        </w:rPr>
      </w:pPr>
      <w:r>
        <w:rPr>
          <w:rFonts w:ascii="Sylfaen" w:eastAsia="Sylfaen" w:hAnsi="Sylfaen" w:cs="Sylfaen"/>
          <w:sz w:val="24"/>
          <w:szCs w:val="24"/>
        </w:rPr>
        <w:t xml:space="preserve">Galtung, J. (1969). Violence, Peace, and Peace Research. </w:t>
      </w:r>
      <w:r>
        <w:rPr>
          <w:rFonts w:ascii="Sylfaen" w:eastAsia="Sylfaen" w:hAnsi="Sylfaen" w:cs="Sylfaen"/>
          <w:i/>
          <w:iCs/>
          <w:sz w:val="24"/>
          <w:szCs w:val="24"/>
        </w:rPr>
        <w:t>Journal of Peace Research , Vol. 6</w:t>
      </w:r>
      <w:r>
        <w:rPr>
          <w:rFonts w:ascii="Sylfaen" w:eastAsia="Sylfaen" w:hAnsi="Sylfaen" w:cs="Sylfaen"/>
          <w:sz w:val="24"/>
          <w:szCs w:val="24"/>
        </w:rPr>
        <w:t xml:space="preserve"> (No.3), 167-191.</w:t>
      </w:r>
    </w:p>
    <w:p w:rsidR="00AD020C" w:rsidRDefault="00AD020C">
      <w:pPr>
        <w:spacing w:line="145" w:lineRule="exact"/>
        <w:rPr>
          <w:sz w:val="20"/>
          <w:szCs w:val="20"/>
        </w:rPr>
      </w:pPr>
    </w:p>
    <w:p w:rsidR="00AD020C" w:rsidRDefault="00000000">
      <w:pPr>
        <w:spacing w:line="332" w:lineRule="auto"/>
        <w:ind w:right="220"/>
        <w:rPr>
          <w:sz w:val="20"/>
          <w:szCs w:val="20"/>
        </w:rPr>
      </w:pPr>
      <w:r>
        <w:rPr>
          <w:rFonts w:ascii="Sylfaen" w:eastAsia="Sylfaen" w:hAnsi="Sylfaen" w:cs="Sylfaen"/>
          <w:sz w:val="24"/>
          <w:szCs w:val="24"/>
        </w:rPr>
        <w:t xml:space="preserve">Galtung, J. (1964). A Structural Theory of Aggression. </w:t>
      </w:r>
      <w:r>
        <w:rPr>
          <w:rFonts w:ascii="Sylfaen" w:eastAsia="Sylfaen" w:hAnsi="Sylfaen" w:cs="Sylfaen"/>
          <w:i/>
          <w:iCs/>
          <w:sz w:val="24"/>
          <w:szCs w:val="24"/>
        </w:rPr>
        <w:t>Journal of Peace Research , 1</w:t>
      </w:r>
      <w:r>
        <w:rPr>
          <w:rFonts w:ascii="Sylfaen" w:eastAsia="Sylfaen" w:hAnsi="Sylfaen" w:cs="Sylfaen"/>
          <w:sz w:val="24"/>
          <w:szCs w:val="24"/>
        </w:rPr>
        <w:t xml:space="preserve"> (No 2). Goldstein, T. (2000). </w:t>
      </w:r>
      <w:r>
        <w:rPr>
          <w:rFonts w:ascii="Sylfaen" w:eastAsia="Sylfaen" w:hAnsi="Sylfaen" w:cs="Sylfaen"/>
          <w:i/>
          <w:iCs/>
          <w:sz w:val="24"/>
          <w:szCs w:val="24"/>
        </w:rPr>
        <w:t>Weaving Connections: Educating for Peace, Social and Environmental Justice</w:t>
      </w:r>
      <w:r>
        <w:rPr>
          <w:rFonts w:ascii="Sylfaen" w:eastAsia="Sylfaen" w:hAnsi="Sylfaen" w:cs="Sylfaen"/>
          <w:sz w:val="24"/>
          <w:szCs w:val="24"/>
        </w:rPr>
        <w:t xml:space="preserve"> (1st Edition ed.). (D. Selby, Ed.) Sumach Press.</w:t>
      </w:r>
    </w:p>
    <w:p w:rsidR="00AD020C" w:rsidRDefault="00AD020C">
      <w:pPr>
        <w:spacing w:line="112" w:lineRule="exact"/>
        <w:rPr>
          <w:sz w:val="20"/>
          <w:szCs w:val="20"/>
        </w:rPr>
      </w:pPr>
    </w:p>
    <w:p w:rsidR="00AD020C" w:rsidRDefault="00000000">
      <w:pPr>
        <w:spacing w:line="303" w:lineRule="auto"/>
        <w:ind w:right="640"/>
        <w:rPr>
          <w:sz w:val="20"/>
          <w:szCs w:val="20"/>
        </w:rPr>
      </w:pPr>
      <w:r>
        <w:rPr>
          <w:rFonts w:ascii="Sylfaen" w:eastAsia="Sylfaen" w:hAnsi="Sylfaen" w:cs="Sylfaen"/>
          <w:sz w:val="24"/>
          <w:szCs w:val="24"/>
        </w:rPr>
        <w:t>Hara, K. (2012 йил 22-6). Peace Education in the 21st Century: A Comparative Study of Peace Education in Japan, Germany and and Bosnia-i-Herzegovina.</w:t>
      </w:r>
    </w:p>
    <w:p w:rsidR="00AD020C" w:rsidRDefault="00AD020C">
      <w:pPr>
        <w:spacing w:line="150" w:lineRule="exact"/>
        <w:rPr>
          <w:sz w:val="20"/>
          <w:szCs w:val="20"/>
        </w:rPr>
      </w:pPr>
    </w:p>
    <w:p w:rsidR="00AD020C" w:rsidRDefault="00000000">
      <w:pPr>
        <w:spacing w:line="332" w:lineRule="auto"/>
        <w:ind w:right="160"/>
        <w:rPr>
          <w:sz w:val="20"/>
          <w:szCs w:val="20"/>
        </w:rPr>
      </w:pPr>
      <w:r>
        <w:rPr>
          <w:rFonts w:ascii="Sylfaen" w:eastAsia="Sylfaen" w:hAnsi="Sylfaen" w:cs="Sylfaen"/>
          <w:sz w:val="24"/>
          <w:szCs w:val="24"/>
        </w:rPr>
        <w:t xml:space="preserve">Harris, I. M., &amp; Morrison, M. L. (2002). </w:t>
      </w:r>
      <w:r>
        <w:rPr>
          <w:rFonts w:ascii="Sylfaen" w:eastAsia="Sylfaen" w:hAnsi="Sylfaen" w:cs="Sylfaen"/>
          <w:i/>
          <w:iCs/>
          <w:sz w:val="24"/>
          <w:szCs w:val="24"/>
        </w:rPr>
        <w:t>Peace Education</w:t>
      </w:r>
      <w:r>
        <w:rPr>
          <w:rFonts w:ascii="Sylfaen" w:eastAsia="Sylfaen" w:hAnsi="Sylfaen" w:cs="Sylfaen"/>
          <w:sz w:val="24"/>
          <w:szCs w:val="24"/>
        </w:rPr>
        <w:t xml:space="preserve"> ( 2nd Edition ed.). McFarland Publishing;. Hicks, D. (1988). </w:t>
      </w:r>
      <w:r>
        <w:rPr>
          <w:rFonts w:ascii="Sylfaen" w:eastAsia="Sylfaen" w:hAnsi="Sylfaen" w:cs="Sylfaen"/>
          <w:i/>
          <w:iCs/>
          <w:sz w:val="24"/>
          <w:szCs w:val="24"/>
        </w:rPr>
        <w:t>Education for peace: Issues, principles and practice in the classroom.</w:t>
      </w:r>
      <w:r>
        <w:rPr>
          <w:rFonts w:ascii="Sylfaen" w:eastAsia="Sylfaen" w:hAnsi="Sylfaen" w:cs="Sylfaen"/>
          <w:sz w:val="24"/>
          <w:szCs w:val="24"/>
        </w:rPr>
        <w:t xml:space="preserve"> London: Routledge.</w:t>
      </w:r>
    </w:p>
    <w:p w:rsidR="00AD020C" w:rsidRDefault="00AD020C">
      <w:pPr>
        <w:spacing w:line="36" w:lineRule="exact"/>
        <w:rPr>
          <w:sz w:val="20"/>
          <w:szCs w:val="20"/>
        </w:rPr>
      </w:pPr>
    </w:p>
    <w:p w:rsidR="00AD020C" w:rsidRDefault="00000000">
      <w:pPr>
        <w:rPr>
          <w:sz w:val="20"/>
          <w:szCs w:val="20"/>
        </w:rPr>
      </w:pPr>
      <w:r>
        <w:rPr>
          <w:rFonts w:ascii="Sylfaen" w:eastAsia="Sylfaen" w:hAnsi="Sylfaen" w:cs="Sylfaen"/>
          <w:sz w:val="24"/>
          <w:szCs w:val="24"/>
        </w:rPr>
        <w:t xml:space="preserve">Kuhn, T. S. (1962). </w:t>
      </w:r>
      <w:r>
        <w:rPr>
          <w:rFonts w:ascii="Sylfaen" w:eastAsia="Sylfaen" w:hAnsi="Sylfaen" w:cs="Sylfaen"/>
          <w:i/>
          <w:iCs/>
          <w:sz w:val="24"/>
          <w:szCs w:val="24"/>
        </w:rPr>
        <w:t>The Structure of Scientific Revolutions.</w:t>
      </w:r>
      <w:r>
        <w:rPr>
          <w:rFonts w:ascii="Sylfaen" w:eastAsia="Sylfaen" w:hAnsi="Sylfaen" w:cs="Sylfaen"/>
          <w:sz w:val="24"/>
          <w:szCs w:val="24"/>
        </w:rPr>
        <w:t xml:space="preserve"> University of Chicago Press.</w:t>
      </w:r>
    </w:p>
    <w:p w:rsidR="00AD020C" w:rsidRDefault="00AD020C">
      <w:pPr>
        <w:spacing w:line="159" w:lineRule="exact"/>
        <w:rPr>
          <w:sz w:val="20"/>
          <w:szCs w:val="20"/>
        </w:rPr>
      </w:pPr>
    </w:p>
    <w:p w:rsidR="00AD020C" w:rsidRDefault="00000000">
      <w:pPr>
        <w:rPr>
          <w:sz w:val="20"/>
          <w:szCs w:val="20"/>
        </w:rPr>
      </w:pPr>
      <w:r>
        <w:rPr>
          <w:rFonts w:ascii="Sylfaen" w:eastAsia="Sylfaen" w:hAnsi="Sylfaen" w:cs="Sylfaen"/>
          <w:sz w:val="24"/>
          <w:szCs w:val="24"/>
        </w:rPr>
        <w:t>Maslow, A. (1943). A Theory of Human Motivation.</w:t>
      </w:r>
    </w:p>
    <w:p w:rsidR="00AD020C" w:rsidRDefault="00AD020C">
      <w:pPr>
        <w:spacing w:line="157" w:lineRule="exact"/>
        <w:rPr>
          <w:sz w:val="20"/>
          <w:szCs w:val="20"/>
        </w:rPr>
      </w:pPr>
    </w:p>
    <w:p w:rsidR="00AD020C" w:rsidRDefault="00000000">
      <w:pPr>
        <w:rPr>
          <w:sz w:val="20"/>
          <w:szCs w:val="20"/>
        </w:rPr>
      </w:pPr>
      <w:r>
        <w:rPr>
          <w:rFonts w:ascii="Sylfaen" w:eastAsia="Sylfaen" w:hAnsi="Sylfaen" w:cs="Sylfaen"/>
          <w:sz w:val="24"/>
          <w:szCs w:val="24"/>
        </w:rPr>
        <w:t xml:space="preserve">Marsh, D., &amp; Stoker, G. (2010). </w:t>
      </w:r>
      <w:r>
        <w:rPr>
          <w:rFonts w:ascii="Sylfaen" w:eastAsia="Sylfaen" w:hAnsi="Sylfaen" w:cs="Sylfaen"/>
          <w:i/>
          <w:iCs/>
          <w:sz w:val="24"/>
          <w:szCs w:val="24"/>
        </w:rPr>
        <w:t>Theory and Methods in Political Science.</w:t>
      </w:r>
    </w:p>
    <w:p w:rsidR="00AD020C" w:rsidRDefault="00AD020C">
      <w:pPr>
        <w:spacing w:line="159" w:lineRule="exact"/>
        <w:rPr>
          <w:sz w:val="20"/>
          <w:szCs w:val="20"/>
        </w:rPr>
      </w:pPr>
    </w:p>
    <w:p w:rsidR="00AD020C" w:rsidRDefault="00000000">
      <w:pPr>
        <w:rPr>
          <w:sz w:val="20"/>
          <w:szCs w:val="20"/>
        </w:rPr>
      </w:pPr>
      <w:r>
        <w:rPr>
          <w:rFonts w:ascii="Sylfaen" w:eastAsia="Sylfaen" w:hAnsi="Sylfaen" w:cs="Sylfaen"/>
          <w:sz w:val="24"/>
          <w:szCs w:val="24"/>
        </w:rPr>
        <w:t>OHCHR. (1993). Vienna Declaration and Programme of Action. Vienna.</w:t>
      </w:r>
    </w:p>
    <w:p w:rsidR="00AD020C" w:rsidRDefault="00AD020C">
      <w:pPr>
        <w:spacing w:line="160" w:lineRule="exact"/>
        <w:rPr>
          <w:sz w:val="20"/>
          <w:szCs w:val="20"/>
        </w:rPr>
      </w:pPr>
    </w:p>
    <w:p w:rsidR="00AD020C" w:rsidRDefault="00000000">
      <w:pPr>
        <w:rPr>
          <w:sz w:val="20"/>
          <w:szCs w:val="20"/>
        </w:rPr>
      </w:pPr>
      <w:r>
        <w:rPr>
          <w:rFonts w:ascii="Sylfaen" w:eastAsia="Sylfaen" w:hAnsi="Sylfaen" w:cs="Sylfaen"/>
          <w:sz w:val="24"/>
          <w:szCs w:val="24"/>
        </w:rPr>
        <w:t xml:space="preserve">Page, J. S. (2008). The United Nations and Peace Education. </w:t>
      </w:r>
      <w:r>
        <w:rPr>
          <w:rFonts w:ascii="Sylfaen" w:eastAsia="Sylfaen" w:hAnsi="Sylfaen" w:cs="Sylfaen"/>
          <w:i/>
          <w:iCs/>
          <w:sz w:val="24"/>
          <w:szCs w:val="24"/>
        </w:rPr>
        <w:t>Encyclopedia of Peace Education</w:t>
      </w:r>
      <w:r>
        <w:rPr>
          <w:rFonts w:ascii="Sylfaen" w:eastAsia="Sylfaen" w:hAnsi="Sylfaen" w:cs="Sylfaen"/>
          <w:sz w:val="24"/>
          <w:szCs w:val="24"/>
        </w:rPr>
        <w:t xml:space="preserve"> .</w:t>
      </w:r>
    </w:p>
    <w:p w:rsidR="00AD020C" w:rsidRDefault="00AD020C">
      <w:pPr>
        <w:spacing w:line="157" w:lineRule="exact"/>
        <w:rPr>
          <w:sz w:val="20"/>
          <w:szCs w:val="20"/>
        </w:rPr>
      </w:pPr>
    </w:p>
    <w:p w:rsidR="00AD020C" w:rsidRDefault="00000000">
      <w:pPr>
        <w:rPr>
          <w:sz w:val="20"/>
          <w:szCs w:val="20"/>
        </w:rPr>
      </w:pPr>
      <w:r>
        <w:rPr>
          <w:rFonts w:ascii="Sylfaen" w:eastAsia="Sylfaen" w:hAnsi="Sylfaen" w:cs="Sylfaen"/>
          <w:sz w:val="24"/>
          <w:szCs w:val="24"/>
        </w:rPr>
        <w:t>Perkins, D. (2002). Paradoxes of Peace and the Prospects of Peace Education. In G. Salomon, &amp; B.</w:t>
      </w:r>
    </w:p>
    <w:p w:rsidR="00AD020C" w:rsidRDefault="00AD020C">
      <w:pPr>
        <w:spacing w:line="159" w:lineRule="exact"/>
        <w:rPr>
          <w:sz w:val="20"/>
          <w:szCs w:val="20"/>
        </w:rPr>
      </w:pPr>
    </w:p>
    <w:p w:rsidR="00AD020C" w:rsidRDefault="00000000">
      <w:pPr>
        <w:rPr>
          <w:sz w:val="20"/>
          <w:szCs w:val="20"/>
        </w:rPr>
      </w:pPr>
      <w:r>
        <w:rPr>
          <w:rFonts w:ascii="Sylfaen" w:eastAsia="Sylfaen" w:hAnsi="Sylfaen" w:cs="Sylfaen"/>
          <w:sz w:val="24"/>
          <w:szCs w:val="24"/>
        </w:rPr>
        <w:t xml:space="preserve">Nevo, </w:t>
      </w:r>
      <w:r>
        <w:rPr>
          <w:rFonts w:ascii="Sylfaen" w:eastAsia="Sylfaen" w:hAnsi="Sylfaen" w:cs="Sylfaen"/>
          <w:i/>
          <w:iCs/>
          <w:sz w:val="24"/>
          <w:szCs w:val="24"/>
        </w:rPr>
        <w:t>Peace Education The Concept, Principles, and Practices Around the World</w:t>
      </w:r>
      <w:r>
        <w:rPr>
          <w:rFonts w:ascii="Sylfaen" w:eastAsia="Sylfaen" w:hAnsi="Sylfaen" w:cs="Sylfaen"/>
          <w:sz w:val="24"/>
          <w:szCs w:val="24"/>
        </w:rPr>
        <w:t xml:space="preserve"> (pp. 37-44).</w:t>
      </w:r>
    </w:p>
    <w:p w:rsidR="00AD020C" w:rsidRDefault="00AD020C">
      <w:pPr>
        <w:spacing w:line="157" w:lineRule="exact"/>
        <w:rPr>
          <w:sz w:val="20"/>
          <w:szCs w:val="20"/>
        </w:rPr>
      </w:pPr>
    </w:p>
    <w:p w:rsidR="00AD020C" w:rsidRDefault="00000000">
      <w:pPr>
        <w:rPr>
          <w:sz w:val="20"/>
          <w:szCs w:val="20"/>
        </w:rPr>
      </w:pPr>
      <w:r>
        <w:rPr>
          <w:rFonts w:ascii="Sylfaen" w:eastAsia="Sylfaen" w:hAnsi="Sylfaen" w:cs="Sylfaen"/>
          <w:sz w:val="24"/>
          <w:szCs w:val="24"/>
        </w:rPr>
        <w:t>Lawrence Erlbaum Associates.</w:t>
      </w:r>
    </w:p>
    <w:p w:rsidR="00AD020C" w:rsidRDefault="00AD020C">
      <w:pPr>
        <w:sectPr w:rsidR="00AD020C">
          <w:type w:val="continuous"/>
          <w:pgSz w:w="12240" w:h="15840"/>
          <w:pgMar w:top="766" w:right="1080" w:bottom="164" w:left="1080" w:header="0" w:footer="0" w:gutter="0"/>
          <w:cols w:space="720" w:equalWidth="0">
            <w:col w:w="10080"/>
          </w:cols>
        </w:sectPr>
      </w:pPr>
    </w:p>
    <w:p w:rsidR="00AD020C" w:rsidRDefault="00AD020C">
      <w:pPr>
        <w:spacing w:line="200" w:lineRule="exact"/>
        <w:rPr>
          <w:sz w:val="20"/>
          <w:szCs w:val="20"/>
        </w:rPr>
      </w:pPr>
    </w:p>
    <w:p w:rsidR="00AD020C" w:rsidRDefault="00AD020C">
      <w:pPr>
        <w:spacing w:line="200" w:lineRule="exact"/>
        <w:rPr>
          <w:sz w:val="20"/>
          <w:szCs w:val="20"/>
        </w:rPr>
      </w:pPr>
    </w:p>
    <w:p w:rsidR="00AD020C" w:rsidRDefault="00AD020C">
      <w:pPr>
        <w:spacing w:line="200" w:lineRule="exact"/>
        <w:rPr>
          <w:sz w:val="20"/>
          <w:szCs w:val="20"/>
        </w:rPr>
      </w:pPr>
    </w:p>
    <w:p w:rsidR="00AD020C" w:rsidRDefault="00AD020C">
      <w:pPr>
        <w:spacing w:line="200" w:lineRule="exact"/>
        <w:rPr>
          <w:sz w:val="20"/>
          <w:szCs w:val="20"/>
        </w:rPr>
      </w:pPr>
    </w:p>
    <w:p w:rsidR="00AD020C" w:rsidRDefault="00AD020C">
      <w:pPr>
        <w:spacing w:line="200" w:lineRule="exact"/>
        <w:rPr>
          <w:sz w:val="20"/>
          <w:szCs w:val="20"/>
        </w:rPr>
      </w:pPr>
    </w:p>
    <w:p w:rsidR="00AD020C" w:rsidRDefault="00AD020C">
      <w:pPr>
        <w:spacing w:line="200" w:lineRule="exact"/>
        <w:rPr>
          <w:sz w:val="20"/>
          <w:szCs w:val="20"/>
        </w:rPr>
      </w:pPr>
    </w:p>
    <w:p w:rsidR="00AD020C" w:rsidRDefault="00AD020C">
      <w:pPr>
        <w:spacing w:line="285" w:lineRule="exact"/>
        <w:rPr>
          <w:sz w:val="20"/>
          <w:szCs w:val="20"/>
        </w:rPr>
      </w:pPr>
    </w:p>
    <w:p w:rsidR="00AD020C" w:rsidRDefault="00000000">
      <w:pPr>
        <w:ind w:left="9820"/>
        <w:rPr>
          <w:sz w:val="20"/>
          <w:szCs w:val="20"/>
        </w:rPr>
      </w:pPr>
      <w:r>
        <w:rPr>
          <w:rFonts w:ascii="Cambria" w:eastAsia="Cambria" w:hAnsi="Cambria" w:cs="Cambria"/>
          <w:sz w:val="23"/>
          <w:szCs w:val="23"/>
        </w:rPr>
        <w:t>34</w:t>
      </w:r>
    </w:p>
    <w:sectPr w:rsidR="00AD020C">
      <w:type w:val="continuous"/>
      <w:pgSz w:w="12240" w:h="15840"/>
      <w:pgMar w:top="766" w:right="1080" w:bottom="164" w:left="1080" w:header="0" w:footer="0" w:gutter="0"/>
      <w:cols w:space="720" w:equalWidth="0">
        <w:col w:w="1008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41BB"/>
    <w:multiLevelType w:val="hybridMultilevel"/>
    <w:tmpl w:val="A686EDB8"/>
    <w:lvl w:ilvl="0" w:tplc="70BC5F78">
      <w:start w:val="1"/>
      <w:numFmt w:val="bullet"/>
      <w:lvlText w:val="-"/>
      <w:lvlJc w:val="left"/>
    </w:lvl>
    <w:lvl w:ilvl="1" w:tplc="E3B68202">
      <w:numFmt w:val="decimal"/>
      <w:lvlText w:val=""/>
      <w:lvlJc w:val="left"/>
    </w:lvl>
    <w:lvl w:ilvl="2" w:tplc="1BA4BC42">
      <w:numFmt w:val="decimal"/>
      <w:lvlText w:val=""/>
      <w:lvlJc w:val="left"/>
    </w:lvl>
    <w:lvl w:ilvl="3" w:tplc="E35E487A">
      <w:numFmt w:val="decimal"/>
      <w:lvlText w:val=""/>
      <w:lvlJc w:val="left"/>
    </w:lvl>
    <w:lvl w:ilvl="4" w:tplc="F9303ABC">
      <w:numFmt w:val="decimal"/>
      <w:lvlText w:val=""/>
      <w:lvlJc w:val="left"/>
    </w:lvl>
    <w:lvl w:ilvl="5" w:tplc="8B5E3650">
      <w:numFmt w:val="decimal"/>
      <w:lvlText w:val=""/>
      <w:lvlJc w:val="left"/>
    </w:lvl>
    <w:lvl w:ilvl="6" w:tplc="F9AE0DD6">
      <w:numFmt w:val="decimal"/>
      <w:lvlText w:val=""/>
      <w:lvlJc w:val="left"/>
    </w:lvl>
    <w:lvl w:ilvl="7" w:tplc="18CC96A8">
      <w:numFmt w:val="decimal"/>
      <w:lvlText w:val=""/>
      <w:lvlJc w:val="left"/>
    </w:lvl>
    <w:lvl w:ilvl="8" w:tplc="50D8FFE0">
      <w:numFmt w:val="decimal"/>
      <w:lvlText w:val=""/>
      <w:lvlJc w:val="left"/>
    </w:lvl>
  </w:abstractNum>
  <w:abstractNum w:abstractNumId="1" w15:restartNumberingAfterBreak="0">
    <w:nsid w:val="00005AF1"/>
    <w:multiLevelType w:val="hybridMultilevel"/>
    <w:tmpl w:val="C54A4352"/>
    <w:lvl w:ilvl="0" w:tplc="EBF0D950">
      <w:start w:val="1"/>
      <w:numFmt w:val="bullet"/>
      <w:lvlText w:val="•"/>
      <w:lvlJc w:val="left"/>
    </w:lvl>
    <w:lvl w:ilvl="1" w:tplc="7562B8A8">
      <w:numFmt w:val="decimal"/>
      <w:lvlText w:val=""/>
      <w:lvlJc w:val="left"/>
    </w:lvl>
    <w:lvl w:ilvl="2" w:tplc="A314BF7E">
      <w:numFmt w:val="decimal"/>
      <w:lvlText w:val=""/>
      <w:lvlJc w:val="left"/>
    </w:lvl>
    <w:lvl w:ilvl="3" w:tplc="EDF460EC">
      <w:numFmt w:val="decimal"/>
      <w:lvlText w:val=""/>
      <w:lvlJc w:val="left"/>
    </w:lvl>
    <w:lvl w:ilvl="4" w:tplc="A74C9ADA">
      <w:numFmt w:val="decimal"/>
      <w:lvlText w:val=""/>
      <w:lvlJc w:val="left"/>
    </w:lvl>
    <w:lvl w:ilvl="5" w:tplc="2360A548">
      <w:numFmt w:val="decimal"/>
      <w:lvlText w:val=""/>
      <w:lvlJc w:val="left"/>
    </w:lvl>
    <w:lvl w:ilvl="6" w:tplc="63B46198">
      <w:numFmt w:val="decimal"/>
      <w:lvlText w:val=""/>
      <w:lvlJc w:val="left"/>
    </w:lvl>
    <w:lvl w:ilvl="7" w:tplc="94AE5DE8">
      <w:numFmt w:val="decimal"/>
      <w:lvlText w:val=""/>
      <w:lvlJc w:val="left"/>
    </w:lvl>
    <w:lvl w:ilvl="8" w:tplc="F828BA8E">
      <w:numFmt w:val="decimal"/>
      <w:lvlText w:val=""/>
      <w:lvlJc w:val="left"/>
    </w:lvl>
  </w:abstractNum>
  <w:abstractNum w:abstractNumId="2" w15:restartNumberingAfterBreak="0">
    <w:nsid w:val="00006DF1"/>
    <w:multiLevelType w:val="hybridMultilevel"/>
    <w:tmpl w:val="C5F6253E"/>
    <w:lvl w:ilvl="0" w:tplc="018CAE78">
      <w:start w:val="1"/>
      <w:numFmt w:val="decimal"/>
      <w:lvlText w:val="%1"/>
      <w:lvlJc w:val="left"/>
    </w:lvl>
    <w:lvl w:ilvl="1" w:tplc="E86C14F2">
      <w:numFmt w:val="decimal"/>
      <w:lvlText w:val=""/>
      <w:lvlJc w:val="left"/>
    </w:lvl>
    <w:lvl w:ilvl="2" w:tplc="CF6E40D4">
      <w:numFmt w:val="decimal"/>
      <w:lvlText w:val=""/>
      <w:lvlJc w:val="left"/>
    </w:lvl>
    <w:lvl w:ilvl="3" w:tplc="65B092EC">
      <w:numFmt w:val="decimal"/>
      <w:lvlText w:val=""/>
      <w:lvlJc w:val="left"/>
    </w:lvl>
    <w:lvl w:ilvl="4" w:tplc="E746EABA">
      <w:numFmt w:val="decimal"/>
      <w:lvlText w:val=""/>
      <w:lvlJc w:val="left"/>
    </w:lvl>
    <w:lvl w:ilvl="5" w:tplc="7AD83CD8">
      <w:numFmt w:val="decimal"/>
      <w:lvlText w:val=""/>
      <w:lvlJc w:val="left"/>
    </w:lvl>
    <w:lvl w:ilvl="6" w:tplc="7E528184">
      <w:numFmt w:val="decimal"/>
      <w:lvlText w:val=""/>
      <w:lvlJc w:val="left"/>
    </w:lvl>
    <w:lvl w:ilvl="7" w:tplc="3F46AE78">
      <w:numFmt w:val="decimal"/>
      <w:lvlText w:val=""/>
      <w:lvlJc w:val="left"/>
    </w:lvl>
    <w:lvl w:ilvl="8" w:tplc="D1AAFF00">
      <w:numFmt w:val="decimal"/>
      <w:lvlText w:val=""/>
      <w:lvlJc w:val="left"/>
    </w:lvl>
  </w:abstractNum>
  <w:num w:numId="1" w16cid:durableId="2096899383">
    <w:abstractNumId w:val="2"/>
  </w:num>
  <w:num w:numId="2" w16cid:durableId="1197042861">
    <w:abstractNumId w:val="1"/>
  </w:num>
  <w:num w:numId="3" w16cid:durableId="792557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20C"/>
    <w:rsid w:val="000F49A5"/>
    <w:rsid w:val="00946D90"/>
    <w:rsid w:val="00AD020C"/>
    <w:rsid w:val="00D20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45FEDF41-7971-9843-AB80-466B00E17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en-G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4302</Words>
  <Characters>24524</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Nino Kukhianidze</cp:lastModifiedBy>
  <cp:revision>2</cp:revision>
  <dcterms:created xsi:type="dcterms:W3CDTF">2026-07-30T19:29:00Z</dcterms:created>
  <dcterms:modified xsi:type="dcterms:W3CDTF">2026-07-30T19:29:00Z</dcterms:modified>
</cp:coreProperties>
</file>